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17B814" w14:textId="77777777" w:rsidR="008019FE" w:rsidRDefault="008019FE" w:rsidP="001B3695">
      <w:pPr>
        <w:shd w:val="clear" w:color="auto" w:fill="FFFFFF"/>
        <w:spacing w:line="234" w:lineRule="atLeast"/>
        <w:jc w:val="center"/>
        <w:rPr>
          <w:b/>
          <w:bCs/>
        </w:rPr>
      </w:pPr>
      <w:r>
        <w:rPr>
          <w:b/>
          <w:bCs/>
        </w:rPr>
        <w:t xml:space="preserve">Phụ lục </w:t>
      </w:r>
    </w:p>
    <w:p w14:paraId="2FFDB321" w14:textId="77777777" w:rsidR="008019FE" w:rsidRDefault="008019FE" w:rsidP="008019FE">
      <w:pPr>
        <w:shd w:val="clear" w:color="auto" w:fill="FFFFFF"/>
        <w:spacing w:before="120" w:line="234" w:lineRule="atLeast"/>
        <w:jc w:val="center"/>
        <w:rPr>
          <w:b/>
          <w:bCs/>
        </w:rPr>
      </w:pPr>
      <w:r w:rsidRPr="00C35CA8">
        <w:rPr>
          <w:b/>
          <w:bCs/>
        </w:rPr>
        <w:t>BÁO CÁO</w:t>
      </w:r>
      <w:r>
        <w:rPr>
          <w:b/>
          <w:bCs/>
        </w:rPr>
        <w:t xml:space="preserve"> </w:t>
      </w:r>
      <w:r w:rsidRPr="00C35CA8">
        <w:rPr>
          <w:b/>
          <w:bCs/>
        </w:rPr>
        <w:t>ĐÁNH GIÁ TÁC ĐỘNG CỦA CHÍNH SÁCH</w:t>
      </w:r>
    </w:p>
    <w:p w14:paraId="32CDC6FD" w14:textId="57B10782" w:rsidR="008019FE" w:rsidRPr="00F93000" w:rsidRDefault="008019FE" w:rsidP="008019FE">
      <w:pPr>
        <w:shd w:val="clear" w:color="auto" w:fill="FFFFFF"/>
        <w:spacing w:before="120" w:line="234" w:lineRule="atLeast"/>
        <w:jc w:val="center"/>
      </w:pPr>
      <w:r w:rsidRPr="00C35CA8">
        <w:rPr>
          <w:b/>
          <w:bCs/>
        </w:rPr>
        <w:t xml:space="preserve">  </w:t>
      </w:r>
      <w:r w:rsidR="001B3695">
        <w:rPr>
          <w:b/>
          <w:bCs/>
        </w:rPr>
        <w:t>D</w:t>
      </w:r>
      <w:r w:rsidRPr="00C35CA8">
        <w:rPr>
          <w:b/>
          <w:bCs/>
        </w:rPr>
        <w:t>ự thảo</w:t>
      </w:r>
      <w:r w:rsidRPr="00C35CA8">
        <w:rPr>
          <w:b/>
          <w:bCs/>
          <w:lang w:val="en-SG"/>
        </w:rPr>
        <w:t xml:space="preserve"> </w:t>
      </w:r>
      <w:r>
        <w:rPr>
          <w:b/>
          <w:bCs/>
          <w:lang w:val="en-SG"/>
        </w:rPr>
        <w:t xml:space="preserve">Thông tư </w:t>
      </w:r>
      <w:r>
        <w:rPr>
          <w:b/>
          <w:lang w:val="pt-BR"/>
        </w:rPr>
        <w:t>q</w:t>
      </w:r>
      <w:r w:rsidRPr="00C35CA8">
        <w:rPr>
          <w:b/>
          <w:lang w:val="pt-BR"/>
        </w:rPr>
        <w:t xml:space="preserve">uy định về đào tạo, cấp, thu hồi </w:t>
      </w:r>
      <w:r>
        <w:rPr>
          <w:b/>
          <w:iCs/>
          <w:color w:val="000000"/>
          <w:lang w:val="pt-BR"/>
        </w:rPr>
        <w:t>chứng chỉ</w:t>
      </w:r>
      <w:r w:rsidRPr="00C35CA8">
        <w:rPr>
          <w:b/>
          <w:lang w:val="pt-BR"/>
        </w:rPr>
        <w:t xml:space="preserve"> chuyên môn hoa tiêu hàng hải và giấy chứng nhận vùng hoạt động hoa tiêu hàng hải</w:t>
      </w:r>
    </w:p>
    <w:p w14:paraId="1B57B520" w14:textId="77777777" w:rsidR="008019FE" w:rsidRDefault="008019FE" w:rsidP="008019FE">
      <w:pPr>
        <w:shd w:val="clear" w:color="auto" w:fill="FFFFFF"/>
        <w:spacing w:before="120" w:after="120" w:line="234" w:lineRule="atLeast"/>
        <w:rPr>
          <w:b/>
          <w:bCs/>
          <w:lang w:val="pt-BR"/>
        </w:rPr>
      </w:pPr>
    </w:p>
    <w:p w14:paraId="0ECC3E9B" w14:textId="77777777" w:rsidR="008019FE" w:rsidRPr="00C35CA8" w:rsidRDefault="008019FE" w:rsidP="008019FE">
      <w:pPr>
        <w:shd w:val="clear" w:color="auto" w:fill="FFFFFF"/>
        <w:spacing w:before="120" w:after="120" w:line="234" w:lineRule="atLeast"/>
        <w:rPr>
          <w:lang w:val="pt-BR"/>
        </w:rPr>
      </w:pPr>
      <w:r w:rsidRPr="00C35CA8">
        <w:rPr>
          <w:b/>
          <w:bCs/>
          <w:lang w:val="pt-BR"/>
        </w:rPr>
        <w:tab/>
        <w:t>I. XÁC ĐỊNH VẤN ĐỀ</w:t>
      </w:r>
    </w:p>
    <w:p w14:paraId="4C8A79B4" w14:textId="77777777" w:rsidR="008019FE" w:rsidRPr="00F93000" w:rsidRDefault="008019FE" w:rsidP="008019FE">
      <w:pPr>
        <w:shd w:val="clear" w:color="auto" w:fill="FFFFFF"/>
        <w:spacing w:before="120" w:after="120" w:line="234" w:lineRule="atLeast"/>
        <w:rPr>
          <w:lang w:val="pt-BR"/>
        </w:rPr>
      </w:pPr>
      <w:r w:rsidRPr="00C35CA8">
        <w:rPr>
          <w:b/>
          <w:bCs/>
          <w:lang w:val="pt-BR"/>
        </w:rPr>
        <w:tab/>
      </w:r>
      <w:r w:rsidRPr="00F93000">
        <w:rPr>
          <w:b/>
          <w:bCs/>
          <w:lang w:val="pt-BR"/>
        </w:rPr>
        <w:t>1. Bối cảnh xây dựng chính sách</w:t>
      </w:r>
    </w:p>
    <w:p w14:paraId="776BCD79" w14:textId="77777777" w:rsidR="008019FE" w:rsidRDefault="008019FE" w:rsidP="008019FE">
      <w:pPr>
        <w:spacing w:before="120" w:after="120" w:line="264" w:lineRule="auto"/>
        <w:jc w:val="both"/>
        <w:rPr>
          <w:lang w:val="pt-BR"/>
        </w:rPr>
      </w:pPr>
      <w:r w:rsidRPr="00F93000">
        <w:rPr>
          <w:lang w:val="pt-BR"/>
        </w:rPr>
        <w:tab/>
        <w:t xml:space="preserve">Lĩnh vực hàng hải với nhiều hoạt động phức tạp liên quan đến con người, tàu thuyền, cảng biển, hàng hóa, môi trường cả trong nước và quốc tế. Do đó, Liên hiệp quốc đã thành lập ra Tổ chức hàng hải quốc tế (IMO) từ năm 1948 để ban hành thống nhất các tiêu chuẩn liên quan đến an toàn hàng hải, an ninh hàng hải và phòng ngừa ô nhiễm môi trường. Bên cạnh đó có nhiều tổ chức quốc tế khác được thành lập để điều chỉnh các hoạt động thương mại hàng hải đảm bảo tạo điều kiện thuận lợi, xuyên suốt giữa các quốc gia trên thế giới. Điều này đòi hỏi hệ thống pháp luật chuyên ngành hàng hải của mỗi quốc gia phải được xây dựng hoàn thiện, bảo đảm điều chỉnh tất cả các hoạt động trong lĩnh vực hàng hải cũng như phải phù hợp với các quy định của công ước và thông lệ quốc tế. Đòi hỏi lực lượng lao động chuyên ngành hàng hải phải chuyên nghiệp, có trình độ chuyên môn, ngoại ngữ cao để làm việc trong môi trường quốc tế. Đến nay, theo thống kê của các tổ chức quốc tế hơn 80% khối lượng hàng hóa thương mại trên thế giới được vận chuyển bằng tàu biển, như vậy ngành vận tải có một vai trò vị trí rất quan trọng trong việc đảm bảo hàng hóa lưu thông trên toàn cầu. Đây là mắt xích cốt yếu trong chuỗi cung ứng hàng hóa trên thế giới. Hệ thống pháp luật chuyên ngành hàng hải được xây dựng hoàn thiện, bảo đảm điều chỉnh tất cả các hoạt động trong lĩnh vực hàng hải cũng như phù hợp với các quy định của công ước và thông lệ quốc tế. Để hòa nhập với thế giới phục vụ phát triển kinh tế biển, hệ thống văn bản quy phạm pháp luật hàng hải, cách thức quản lý điều hành của Việt Nam đã được quan tâm, nghiên cứu, sửa đổi, bổ sung kịp thời với các quy định của quốc tế và tập quán quốc tế. </w:t>
      </w:r>
      <w:r w:rsidRPr="00F93000">
        <w:rPr>
          <w:w w:val="101"/>
          <w:lang w:val="pt-BR"/>
        </w:rPr>
        <w:t xml:space="preserve">Nên cần rà soát lại một số nội dung để sửa đổi cho thống nhất, </w:t>
      </w:r>
      <w:r w:rsidRPr="00F93000">
        <w:rPr>
          <w:lang w:val="pt-BR"/>
        </w:rPr>
        <w:t>đồng bộ hệ thống pháp luật, nâng cao hiệu quả quản lý nhà nước.</w:t>
      </w:r>
    </w:p>
    <w:p w14:paraId="0A7C7255" w14:textId="10EE6517" w:rsidR="000233EB" w:rsidRPr="008A03A2" w:rsidRDefault="00FC6D73" w:rsidP="000233EB">
      <w:pPr>
        <w:tabs>
          <w:tab w:val="left" w:pos="720"/>
          <w:tab w:val="left" w:pos="851"/>
        </w:tabs>
        <w:spacing w:after="120"/>
        <w:ind w:firstLine="709"/>
        <w:jc w:val="both"/>
        <w:rPr>
          <w:lang w:val="pt-BR"/>
        </w:rPr>
      </w:pPr>
      <w:r>
        <w:rPr>
          <w:lang w:val="pt-BR"/>
        </w:rPr>
        <w:t>H</w:t>
      </w:r>
      <w:r w:rsidR="000233EB" w:rsidRPr="008A03A2">
        <w:rPr>
          <w:lang w:val="pt-BR"/>
        </w:rPr>
        <w:t xml:space="preserve">iện nay, </w:t>
      </w:r>
      <w:r w:rsidR="008A03A2" w:rsidRPr="008A03A2">
        <w:rPr>
          <w:lang w:val="pt-BR"/>
        </w:rPr>
        <w:t>s</w:t>
      </w:r>
      <w:r w:rsidR="008A03A2">
        <w:rPr>
          <w:lang w:val="pt-BR"/>
        </w:rPr>
        <w:t xml:space="preserve">ố lượng hoa tiêu các hạng 450 hoa tiêu và </w:t>
      </w:r>
      <w:r w:rsidR="008A03A2" w:rsidRPr="008A03A2">
        <w:rPr>
          <w:lang w:val="pt-BR"/>
        </w:rPr>
        <w:t>có 05 Công ty hoa tiêu</w:t>
      </w:r>
      <w:r w:rsidR="008A03A2">
        <w:rPr>
          <w:lang w:val="pt-BR"/>
        </w:rPr>
        <w:t xml:space="preserve">, </w:t>
      </w:r>
      <w:r w:rsidR="000233EB" w:rsidRPr="008A03A2">
        <w:rPr>
          <w:lang w:val="pt-BR"/>
        </w:rPr>
        <w:t xml:space="preserve">bao gồm: Công ty TNHH MTV Hoa tiêu hàng hải miền Nam (hợp nhất của 05 Công ty TNHH MTV Hoa tiêu hàng hải khu vực I; V; VII; VIII, IX); Công ty TNHH Hoa tiêu Hàng hải miền Nam ( hợp nhất của 05 Công ty TNHH MTV Hoa tiêu hàng hải khu vực II; III; IV; V; VI); Công ty TNHH MTV Hoa tiêu Tân Cảng, Cổ phần  Hoa tiêu hàng hải - TKV, Công ty CP Dịch vụ và Vận tải biển Vũng Tàu. Về cơ bản đội ngũ hoa tiêu hàng hải có đủ số lượng các hạng, đảm bảo về chất lượng, dày dạn kinh nghiệm, vững vàng dẫn dắt những con tàu có trọng tải lớn ra vào các bến cảng trong khu vực an toàn. Tuy nhiên, với sự phát triển nhanh chóng của công nghệ hàng hải hiện đại như hệ thống định vị tự động, radar tiên tiến, năng lượng sạch và công nghệ </w:t>
      </w:r>
      <w:r w:rsidR="000233EB" w:rsidRPr="008A03A2">
        <w:rPr>
          <w:lang w:val="pt-BR"/>
        </w:rPr>
        <w:lastRenderedPageBreak/>
        <w:t>số hóa tàu thuyền, đòi hỏi hoa tiêu hàng hải phải được cập nhật đầy đủ các kiến thức và kỹ năng mới.</w:t>
      </w:r>
    </w:p>
    <w:p w14:paraId="6673CC8E" w14:textId="633AEE22" w:rsidR="000233EB" w:rsidRPr="006062B4" w:rsidRDefault="00B57661" w:rsidP="000233EB">
      <w:pPr>
        <w:spacing w:before="120" w:after="120" w:line="264" w:lineRule="auto"/>
        <w:jc w:val="both"/>
      </w:pPr>
      <w:r>
        <w:rPr>
          <w:b/>
          <w:bCs/>
          <w:sz w:val="32"/>
          <w:szCs w:val="32"/>
          <w:lang w:val="pt-BR"/>
        </w:rPr>
        <w:tab/>
      </w:r>
      <w:r w:rsidR="000233EB" w:rsidRPr="000233EB">
        <w:rPr>
          <w:lang w:val="pt-BR"/>
        </w:rPr>
        <w:t xml:space="preserve">Số liệu đào tạo hoa tiêu hàng hải tại Trường Đại học hàng hải Việt Nam và Trường Đại học Giao thông vận tải TP. </w:t>
      </w:r>
      <w:r w:rsidR="000233EB">
        <w:t>Hồ Chí Minh:</w:t>
      </w:r>
    </w:p>
    <w:tbl>
      <w:tblPr>
        <w:tblW w:w="9012" w:type="dxa"/>
        <w:tblInd w:w="-5" w:type="dxa"/>
        <w:tblLook w:val="04A0" w:firstRow="1" w:lastRow="0" w:firstColumn="1" w:lastColumn="0" w:noHBand="0" w:noVBand="1"/>
      </w:tblPr>
      <w:tblGrid>
        <w:gridCol w:w="1560"/>
        <w:gridCol w:w="736"/>
        <w:gridCol w:w="681"/>
        <w:gridCol w:w="736"/>
        <w:gridCol w:w="736"/>
        <w:gridCol w:w="796"/>
        <w:gridCol w:w="851"/>
        <w:gridCol w:w="708"/>
        <w:gridCol w:w="736"/>
        <w:gridCol w:w="736"/>
        <w:gridCol w:w="736"/>
      </w:tblGrid>
      <w:tr w:rsidR="000233EB" w:rsidRPr="006062B4" w14:paraId="7053BE17" w14:textId="77777777" w:rsidTr="00FA557A">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37B4226" w14:textId="77777777" w:rsidR="000233EB" w:rsidRPr="006062B4" w:rsidRDefault="000233EB" w:rsidP="00FA557A">
            <w:pPr>
              <w:spacing w:after="120"/>
              <w:jc w:val="center"/>
              <w:rPr>
                <w:b/>
                <w:bCs/>
                <w:sz w:val="26"/>
                <w:szCs w:val="26"/>
              </w:rPr>
            </w:pPr>
            <w:r w:rsidRPr="006062B4">
              <w:rPr>
                <w:b/>
                <w:bCs/>
                <w:sz w:val="26"/>
                <w:szCs w:val="26"/>
              </w:rPr>
              <w:t>Năm</w:t>
            </w:r>
          </w:p>
        </w:tc>
        <w:tc>
          <w:tcPr>
            <w:tcW w:w="736" w:type="dxa"/>
            <w:tcBorders>
              <w:top w:val="single" w:sz="4" w:space="0" w:color="auto"/>
              <w:left w:val="nil"/>
              <w:bottom w:val="single" w:sz="4" w:space="0" w:color="auto"/>
              <w:right w:val="single" w:sz="4" w:space="0" w:color="auto"/>
            </w:tcBorders>
            <w:shd w:val="clear" w:color="auto" w:fill="auto"/>
            <w:noWrap/>
            <w:vAlign w:val="bottom"/>
            <w:hideMark/>
          </w:tcPr>
          <w:p w14:paraId="2AA56820" w14:textId="77777777" w:rsidR="000233EB" w:rsidRPr="006062B4" w:rsidRDefault="000233EB" w:rsidP="00FA557A">
            <w:pPr>
              <w:spacing w:after="120"/>
              <w:jc w:val="right"/>
              <w:rPr>
                <w:b/>
                <w:sz w:val="26"/>
                <w:szCs w:val="26"/>
              </w:rPr>
            </w:pPr>
            <w:r w:rsidRPr="006062B4">
              <w:rPr>
                <w:b/>
                <w:sz w:val="26"/>
                <w:szCs w:val="26"/>
              </w:rPr>
              <w:t>2015</w:t>
            </w:r>
          </w:p>
        </w:tc>
        <w:tc>
          <w:tcPr>
            <w:tcW w:w="681" w:type="dxa"/>
            <w:tcBorders>
              <w:top w:val="single" w:sz="4" w:space="0" w:color="auto"/>
              <w:left w:val="nil"/>
              <w:bottom w:val="single" w:sz="4" w:space="0" w:color="auto"/>
              <w:right w:val="single" w:sz="4" w:space="0" w:color="auto"/>
            </w:tcBorders>
            <w:shd w:val="clear" w:color="auto" w:fill="auto"/>
            <w:noWrap/>
            <w:vAlign w:val="bottom"/>
            <w:hideMark/>
          </w:tcPr>
          <w:p w14:paraId="26984F92" w14:textId="77777777" w:rsidR="000233EB" w:rsidRPr="006062B4" w:rsidRDefault="000233EB" w:rsidP="00FA557A">
            <w:pPr>
              <w:spacing w:after="120"/>
              <w:ind w:left="-71" w:right="-121"/>
              <w:jc w:val="center"/>
              <w:rPr>
                <w:b/>
                <w:sz w:val="26"/>
                <w:szCs w:val="26"/>
              </w:rPr>
            </w:pPr>
            <w:r w:rsidRPr="006062B4">
              <w:rPr>
                <w:b/>
                <w:sz w:val="26"/>
                <w:szCs w:val="26"/>
              </w:rPr>
              <w:t>2016</w:t>
            </w:r>
          </w:p>
        </w:tc>
        <w:tc>
          <w:tcPr>
            <w:tcW w:w="736" w:type="dxa"/>
            <w:tcBorders>
              <w:top w:val="single" w:sz="4" w:space="0" w:color="auto"/>
              <w:left w:val="nil"/>
              <w:bottom w:val="single" w:sz="4" w:space="0" w:color="auto"/>
              <w:right w:val="single" w:sz="4" w:space="0" w:color="auto"/>
            </w:tcBorders>
            <w:shd w:val="clear" w:color="auto" w:fill="auto"/>
            <w:noWrap/>
            <w:vAlign w:val="bottom"/>
            <w:hideMark/>
          </w:tcPr>
          <w:p w14:paraId="3C315381" w14:textId="77777777" w:rsidR="000233EB" w:rsidRPr="006062B4" w:rsidRDefault="000233EB" w:rsidP="00FA557A">
            <w:pPr>
              <w:spacing w:after="120"/>
              <w:ind w:left="-82" w:right="-109" w:firstLine="82"/>
              <w:rPr>
                <w:b/>
                <w:sz w:val="26"/>
                <w:szCs w:val="26"/>
              </w:rPr>
            </w:pPr>
            <w:r w:rsidRPr="006062B4">
              <w:rPr>
                <w:b/>
                <w:sz w:val="26"/>
                <w:szCs w:val="26"/>
              </w:rPr>
              <w:t>2017</w:t>
            </w:r>
          </w:p>
        </w:tc>
        <w:tc>
          <w:tcPr>
            <w:tcW w:w="736" w:type="dxa"/>
            <w:tcBorders>
              <w:top w:val="single" w:sz="4" w:space="0" w:color="auto"/>
              <w:left w:val="nil"/>
              <w:bottom w:val="single" w:sz="4" w:space="0" w:color="auto"/>
              <w:right w:val="single" w:sz="4" w:space="0" w:color="auto"/>
            </w:tcBorders>
            <w:shd w:val="clear" w:color="auto" w:fill="auto"/>
            <w:noWrap/>
            <w:vAlign w:val="bottom"/>
            <w:hideMark/>
          </w:tcPr>
          <w:p w14:paraId="4B5D4FEF" w14:textId="77777777" w:rsidR="000233EB" w:rsidRPr="006062B4" w:rsidRDefault="000233EB" w:rsidP="00FA557A">
            <w:pPr>
              <w:spacing w:after="120"/>
              <w:jc w:val="center"/>
              <w:rPr>
                <w:b/>
                <w:sz w:val="26"/>
                <w:szCs w:val="26"/>
              </w:rPr>
            </w:pPr>
            <w:r w:rsidRPr="006062B4">
              <w:rPr>
                <w:b/>
                <w:sz w:val="26"/>
                <w:szCs w:val="26"/>
              </w:rPr>
              <w:t>2018</w:t>
            </w:r>
          </w:p>
        </w:tc>
        <w:tc>
          <w:tcPr>
            <w:tcW w:w="796" w:type="dxa"/>
            <w:tcBorders>
              <w:top w:val="single" w:sz="4" w:space="0" w:color="auto"/>
              <w:left w:val="nil"/>
              <w:bottom w:val="single" w:sz="4" w:space="0" w:color="auto"/>
              <w:right w:val="single" w:sz="4" w:space="0" w:color="auto"/>
            </w:tcBorders>
            <w:shd w:val="clear" w:color="auto" w:fill="auto"/>
            <w:noWrap/>
            <w:vAlign w:val="bottom"/>
            <w:hideMark/>
          </w:tcPr>
          <w:p w14:paraId="55D05605" w14:textId="77777777" w:rsidR="000233EB" w:rsidRPr="006062B4" w:rsidRDefault="000233EB" w:rsidP="00FA557A">
            <w:pPr>
              <w:spacing w:after="120"/>
              <w:ind w:left="-82"/>
              <w:jc w:val="center"/>
              <w:rPr>
                <w:b/>
                <w:sz w:val="26"/>
                <w:szCs w:val="26"/>
              </w:rPr>
            </w:pPr>
            <w:r w:rsidRPr="006062B4">
              <w:rPr>
                <w:b/>
                <w:sz w:val="26"/>
                <w:szCs w:val="26"/>
              </w:rPr>
              <w:t>2019</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3480E19F" w14:textId="77777777" w:rsidR="000233EB" w:rsidRPr="006062B4" w:rsidRDefault="000233EB" w:rsidP="00FA557A">
            <w:pPr>
              <w:spacing w:after="120"/>
              <w:ind w:left="-93"/>
              <w:jc w:val="right"/>
              <w:rPr>
                <w:b/>
                <w:sz w:val="26"/>
                <w:szCs w:val="26"/>
              </w:rPr>
            </w:pPr>
            <w:r w:rsidRPr="006062B4">
              <w:rPr>
                <w:b/>
                <w:sz w:val="26"/>
                <w:szCs w:val="26"/>
              </w:rPr>
              <w:t>2020</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4F5C6881" w14:textId="77777777" w:rsidR="000233EB" w:rsidRPr="006062B4" w:rsidRDefault="000233EB" w:rsidP="00FA557A">
            <w:pPr>
              <w:spacing w:after="120"/>
              <w:ind w:left="-83" w:right="-109"/>
              <w:jc w:val="center"/>
              <w:rPr>
                <w:b/>
                <w:sz w:val="26"/>
                <w:szCs w:val="26"/>
              </w:rPr>
            </w:pPr>
            <w:r w:rsidRPr="006062B4">
              <w:rPr>
                <w:b/>
                <w:sz w:val="26"/>
                <w:szCs w:val="26"/>
              </w:rPr>
              <w:t>2021</w:t>
            </w:r>
          </w:p>
        </w:tc>
        <w:tc>
          <w:tcPr>
            <w:tcW w:w="736" w:type="dxa"/>
            <w:tcBorders>
              <w:top w:val="single" w:sz="4" w:space="0" w:color="auto"/>
              <w:left w:val="nil"/>
              <w:bottom w:val="single" w:sz="4" w:space="0" w:color="auto"/>
              <w:right w:val="single" w:sz="4" w:space="0" w:color="auto"/>
            </w:tcBorders>
            <w:shd w:val="clear" w:color="auto" w:fill="auto"/>
            <w:noWrap/>
            <w:vAlign w:val="bottom"/>
            <w:hideMark/>
          </w:tcPr>
          <w:p w14:paraId="2721EB3D" w14:textId="77777777" w:rsidR="000233EB" w:rsidRPr="006062B4" w:rsidRDefault="000233EB" w:rsidP="00FA557A">
            <w:pPr>
              <w:spacing w:after="120"/>
              <w:jc w:val="center"/>
              <w:rPr>
                <w:b/>
                <w:sz w:val="26"/>
                <w:szCs w:val="26"/>
              </w:rPr>
            </w:pPr>
            <w:r w:rsidRPr="006062B4">
              <w:rPr>
                <w:b/>
                <w:sz w:val="26"/>
                <w:szCs w:val="26"/>
              </w:rPr>
              <w:t>2022</w:t>
            </w:r>
          </w:p>
        </w:tc>
        <w:tc>
          <w:tcPr>
            <w:tcW w:w="736" w:type="dxa"/>
            <w:tcBorders>
              <w:top w:val="single" w:sz="4" w:space="0" w:color="auto"/>
              <w:left w:val="nil"/>
              <w:bottom w:val="single" w:sz="4" w:space="0" w:color="auto"/>
              <w:right w:val="single" w:sz="4" w:space="0" w:color="auto"/>
            </w:tcBorders>
          </w:tcPr>
          <w:p w14:paraId="5B4A5CD9" w14:textId="77777777" w:rsidR="000233EB" w:rsidRPr="006062B4" w:rsidRDefault="000233EB" w:rsidP="00FA557A">
            <w:pPr>
              <w:spacing w:after="120"/>
              <w:jc w:val="right"/>
              <w:rPr>
                <w:b/>
                <w:sz w:val="26"/>
                <w:szCs w:val="26"/>
              </w:rPr>
            </w:pPr>
            <w:r>
              <w:rPr>
                <w:b/>
                <w:sz w:val="26"/>
                <w:szCs w:val="26"/>
              </w:rPr>
              <w:t>2023</w:t>
            </w:r>
          </w:p>
        </w:tc>
        <w:tc>
          <w:tcPr>
            <w:tcW w:w="736" w:type="dxa"/>
            <w:tcBorders>
              <w:top w:val="single" w:sz="4" w:space="0" w:color="auto"/>
              <w:left w:val="nil"/>
              <w:bottom w:val="single" w:sz="4" w:space="0" w:color="auto"/>
              <w:right w:val="single" w:sz="4" w:space="0" w:color="auto"/>
            </w:tcBorders>
          </w:tcPr>
          <w:p w14:paraId="4ED8DAEE" w14:textId="77777777" w:rsidR="000233EB" w:rsidRDefault="000233EB" w:rsidP="00FA557A">
            <w:pPr>
              <w:spacing w:after="120"/>
              <w:jc w:val="right"/>
              <w:rPr>
                <w:b/>
                <w:sz w:val="26"/>
                <w:szCs w:val="26"/>
              </w:rPr>
            </w:pPr>
            <w:r>
              <w:rPr>
                <w:b/>
                <w:sz w:val="26"/>
                <w:szCs w:val="26"/>
              </w:rPr>
              <w:t>2024</w:t>
            </w:r>
          </w:p>
        </w:tc>
      </w:tr>
      <w:tr w:rsidR="000233EB" w:rsidRPr="006062B4" w14:paraId="01B845E3" w14:textId="77777777" w:rsidTr="00FA557A">
        <w:trPr>
          <w:trHeight w:val="300"/>
        </w:trPr>
        <w:tc>
          <w:tcPr>
            <w:tcW w:w="1560" w:type="dxa"/>
            <w:tcBorders>
              <w:top w:val="nil"/>
              <w:left w:val="single" w:sz="4" w:space="0" w:color="auto"/>
              <w:bottom w:val="single" w:sz="4" w:space="0" w:color="auto"/>
              <w:right w:val="single" w:sz="4" w:space="0" w:color="auto"/>
            </w:tcBorders>
            <w:shd w:val="clear" w:color="auto" w:fill="auto"/>
            <w:vAlign w:val="bottom"/>
            <w:hideMark/>
          </w:tcPr>
          <w:p w14:paraId="57B06C32" w14:textId="77777777" w:rsidR="000233EB" w:rsidRPr="006062B4" w:rsidRDefault="000233EB" w:rsidP="00FA557A">
            <w:pPr>
              <w:jc w:val="center"/>
              <w:rPr>
                <w:b/>
                <w:bCs/>
                <w:sz w:val="26"/>
                <w:szCs w:val="26"/>
              </w:rPr>
            </w:pPr>
            <w:r w:rsidRPr="006062B4">
              <w:rPr>
                <w:b/>
                <w:bCs/>
                <w:sz w:val="26"/>
                <w:szCs w:val="26"/>
              </w:rPr>
              <w:t>Hoa tiêu cơ bản</w:t>
            </w:r>
          </w:p>
        </w:tc>
        <w:tc>
          <w:tcPr>
            <w:tcW w:w="736" w:type="dxa"/>
            <w:tcBorders>
              <w:top w:val="nil"/>
              <w:left w:val="nil"/>
              <w:bottom w:val="single" w:sz="4" w:space="0" w:color="auto"/>
              <w:right w:val="single" w:sz="4" w:space="0" w:color="auto"/>
            </w:tcBorders>
            <w:shd w:val="clear" w:color="auto" w:fill="auto"/>
            <w:noWrap/>
            <w:vAlign w:val="bottom"/>
            <w:hideMark/>
          </w:tcPr>
          <w:p w14:paraId="26338D1D" w14:textId="77777777" w:rsidR="000233EB" w:rsidRPr="006062B4" w:rsidRDefault="000233EB" w:rsidP="008A03A2">
            <w:pPr>
              <w:jc w:val="center"/>
              <w:rPr>
                <w:sz w:val="26"/>
                <w:szCs w:val="26"/>
              </w:rPr>
            </w:pPr>
            <w:r w:rsidRPr="006062B4">
              <w:rPr>
                <w:sz w:val="26"/>
                <w:szCs w:val="26"/>
              </w:rPr>
              <w:t>26</w:t>
            </w:r>
          </w:p>
        </w:tc>
        <w:tc>
          <w:tcPr>
            <w:tcW w:w="681" w:type="dxa"/>
            <w:tcBorders>
              <w:top w:val="nil"/>
              <w:left w:val="nil"/>
              <w:bottom w:val="single" w:sz="4" w:space="0" w:color="auto"/>
              <w:right w:val="single" w:sz="4" w:space="0" w:color="auto"/>
            </w:tcBorders>
            <w:shd w:val="clear" w:color="auto" w:fill="auto"/>
            <w:noWrap/>
            <w:vAlign w:val="bottom"/>
            <w:hideMark/>
          </w:tcPr>
          <w:p w14:paraId="22B947EF" w14:textId="77777777" w:rsidR="000233EB" w:rsidRPr="006062B4" w:rsidRDefault="000233EB" w:rsidP="008A03A2">
            <w:pPr>
              <w:jc w:val="center"/>
              <w:rPr>
                <w:sz w:val="26"/>
                <w:szCs w:val="26"/>
              </w:rPr>
            </w:pPr>
            <w:r w:rsidRPr="006062B4">
              <w:rPr>
                <w:sz w:val="26"/>
                <w:szCs w:val="26"/>
              </w:rPr>
              <w:t>20</w:t>
            </w:r>
          </w:p>
        </w:tc>
        <w:tc>
          <w:tcPr>
            <w:tcW w:w="736" w:type="dxa"/>
            <w:tcBorders>
              <w:top w:val="nil"/>
              <w:left w:val="nil"/>
              <w:bottom w:val="single" w:sz="4" w:space="0" w:color="auto"/>
              <w:right w:val="single" w:sz="4" w:space="0" w:color="auto"/>
            </w:tcBorders>
            <w:shd w:val="clear" w:color="auto" w:fill="auto"/>
            <w:noWrap/>
            <w:vAlign w:val="bottom"/>
            <w:hideMark/>
          </w:tcPr>
          <w:p w14:paraId="390970B8" w14:textId="77777777" w:rsidR="000233EB" w:rsidRPr="006062B4" w:rsidRDefault="000233EB" w:rsidP="008A03A2">
            <w:pPr>
              <w:jc w:val="center"/>
              <w:rPr>
                <w:sz w:val="26"/>
                <w:szCs w:val="26"/>
              </w:rPr>
            </w:pPr>
            <w:r w:rsidRPr="006062B4">
              <w:rPr>
                <w:sz w:val="26"/>
                <w:szCs w:val="26"/>
              </w:rPr>
              <w:t>31</w:t>
            </w:r>
          </w:p>
        </w:tc>
        <w:tc>
          <w:tcPr>
            <w:tcW w:w="736" w:type="dxa"/>
            <w:tcBorders>
              <w:top w:val="nil"/>
              <w:left w:val="nil"/>
              <w:bottom w:val="single" w:sz="4" w:space="0" w:color="auto"/>
              <w:right w:val="single" w:sz="4" w:space="0" w:color="auto"/>
            </w:tcBorders>
            <w:shd w:val="clear" w:color="auto" w:fill="auto"/>
            <w:noWrap/>
            <w:vAlign w:val="bottom"/>
            <w:hideMark/>
          </w:tcPr>
          <w:p w14:paraId="3A3614F7" w14:textId="77777777" w:rsidR="000233EB" w:rsidRPr="006062B4" w:rsidRDefault="000233EB" w:rsidP="008A03A2">
            <w:pPr>
              <w:jc w:val="center"/>
              <w:rPr>
                <w:sz w:val="26"/>
                <w:szCs w:val="26"/>
              </w:rPr>
            </w:pPr>
            <w:r w:rsidRPr="006062B4">
              <w:rPr>
                <w:sz w:val="26"/>
                <w:szCs w:val="26"/>
              </w:rPr>
              <w:t>23</w:t>
            </w:r>
          </w:p>
        </w:tc>
        <w:tc>
          <w:tcPr>
            <w:tcW w:w="796" w:type="dxa"/>
            <w:tcBorders>
              <w:top w:val="nil"/>
              <w:left w:val="nil"/>
              <w:bottom w:val="single" w:sz="4" w:space="0" w:color="auto"/>
              <w:right w:val="single" w:sz="4" w:space="0" w:color="auto"/>
            </w:tcBorders>
            <w:shd w:val="clear" w:color="auto" w:fill="auto"/>
            <w:noWrap/>
            <w:vAlign w:val="bottom"/>
            <w:hideMark/>
          </w:tcPr>
          <w:p w14:paraId="47CF2491" w14:textId="77777777" w:rsidR="000233EB" w:rsidRPr="006062B4" w:rsidRDefault="000233EB" w:rsidP="008A03A2">
            <w:pPr>
              <w:jc w:val="center"/>
              <w:rPr>
                <w:sz w:val="26"/>
                <w:szCs w:val="26"/>
              </w:rPr>
            </w:pPr>
            <w:r w:rsidRPr="006062B4">
              <w:rPr>
                <w:sz w:val="26"/>
                <w:szCs w:val="26"/>
              </w:rPr>
              <w:t>39</w:t>
            </w:r>
          </w:p>
        </w:tc>
        <w:tc>
          <w:tcPr>
            <w:tcW w:w="851" w:type="dxa"/>
            <w:tcBorders>
              <w:top w:val="nil"/>
              <w:left w:val="nil"/>
              <w:bottom w:val="single" w:sz="4" w:space="0" w:color="auto"/>
              <w:right w:val="single" w:sz="4" w:space="0" w:color="auto"/>
            </w:tcBorders>
            <w:shd w:val="clear" w:color="auto" w:fill="auto"/>
            <w:noWrap/>
            <w:vAlign w:val="bottom"/>
            <w:hideMark/>
          </w:tcPr>
          <w:p w14:paraId="70BAAA89" w14:textId="77777777" w:rsidR="000233EB" w:rsidRPr="006062B4" w:rsidRDefault="000233EB" w:rsidP="008A03A2">
            <w:pPr>
              <w:jc w:val="center"/>
              <w:rPr>
                <w:sz w:val="26"/>
                <w:szCs w:val="26"/>
              </w:rPr>
            </w:pPr>
            <w:r w:rsidRPr="006062B4">
              <w:rPr>
                <w:sz w:val="26"/>
                <w:szCs w:val="26"/>
              </w:rPr>
              <w:t>21</w:t>
            </w:r>
          </w:p>
        </w:tc>
        <w:tc>
          <w:tcPr>
            <w:tcW w:w="708" w:type="dxa"/>
            <w:tcBorders>
              <w:top w:val="nil"/>
              <w:left w:val="nil"/>
              <w:bottom w:val="single" w:sz="4" w:space="0" w:color="auto"/>
              <w:right w:val="single" w:sz="4" w:space="0" w:color="auto"/>
            </w:tcBorders>
            <w:shd w:val="clear" w:color="auto" w:fill="auto"/>
            <w:noWrap/>
            <w:vAlign w:val="bottom"/>
            <w:hideMark/>
          </w:tcPr>
          <w:p w14:paraId="442D3E22" w14:textId="77777777" w:rsidR="000233EB" w:rsidRPr="006062B4" w:rsidRDefault="000233EB" w:rsidP="008A03A2">
            <w:pPr>
              <w:jc w:val="center"/>
              <w:rPr>
                <w:sz w:val="26"/>
                <w:szCs w:val="26"/>
              </w:rPr>
            </w:pPr>
            <w:r w:rsidRPr="006062B4">
              <w:rPr>
                <w:sz w:val="26"/>
                <w:szCs w:val="26"/>
              </w:rPr>
              <w:t>39</w:t>
            </w:r>
          </w:p>
        </w:tc>
        <w:tc>
          <w:tcPr>
            <w:tcW w:w="736" w:type="dxa"/>
            <w:tcBorders>
              <w:top w:val="nil"/>
              <w:left w:val="nil"/>
              <w:bottom w:val="single" w:sz="4" w:space="0" w:color="auto"/>
              <w:right w:val="single" w:sz="4" w:space="0" w:color="auto"/>
            </w:tcBorders>
            <w:shd w:val="clear" w:color="auto" w:fill="auto"/>
            <w:noWrap/>
            <w:vAlign w:val="bottom"/>
            <w:hideMark/>
          </w:tcPr>
          <w:p w14:paraId="16B57BA4" w14:textId="77777777" w:rsidR="000233EB" w:rsidRPr="006062B4" w:rsidRDefault="000233EB" w:rsidP="008A03A2">
            <w:pPr>
              <w:jc w:val="center"/>
              <w:rPr>
                <w:sz w:val="26"/>
                <w:szCs w:val="26"/>
              </w:rPr>
            </w:pPr>
            <w:r w:rsidRPr="006062B4">
              <w:rPr>
                <w:sz w:val="26"/>
                <w:szCs w:val="26"/>
              </w:rPr>
              <w:t>26</w:t>
            </w:r>
          </w:p>
        </w:tc>
        <w:tc>
          <w:tcPr>
            <w:tcW w:w="736" w:type="dxa"/>
            <w:tcBorders>
              <w:top w:val="nil"/>
              <w:left w:val="nil"/>
              <w:bottom w:val="single" w:sz="4" w:space="0" w:color="auto"/>
              <w:right w:val="single" w:sz="4" w:space="0" w:color="auto"/>
            </w:tcBorders>
          </w:tcPr>
          <w:p w14:paraId="72C2D39A" w14:textId="77777777" w:rsidR="008A03A2" w:rsidRDefault="008A03A2" w:rsidP="008A03A2">
            <w:pPr>
              <w:jc w:val="center"/>
              <w:rPr>
                <w:sz w:val="26"/>
                <w:szCs w:val="26"/>
              </w:rPr>
            </w:pPr>
          </w:p>
          <w:p w14:paraId="4B54FB86" w14:textId="5C383129" w:rsidR="000233EB" w:rsidRPr="006062B4" w:rsidRDefault="000233EB" w:rsidP="008A03A2">
            <w:pPr>
              <w:jc w:val="center"/>
              <w:rPr>
                <w:sz w:val="26"/>
                <w:szCs w:val="26"/>
              </w:rPr>
            </w:pPr>
            <w:r>
              <w:rPr>
                <w:sz w:val="26"/>
                <w:szCs w:val="26"/>
              </w:rPr>
              <w:t>11</w:t>
            </w:r>
          </w:p>
        </w:tc>
        <w:tc>
          <w:tcPr>
            <w:tcW w:w="736" w:type="dxa"/>
            <w:tcBorders>
              <w:top w:val="nil"/>
              <w:left w:val="nil"/>
              <w:bottom w:val="single" w:sz="4" w:space="0" w:color="auto"/>
              <w:right w:val="single" w:sz="4" w:space="0" w:color="auto"/>
            </w:tcBorders>
          </w:tcPr>
          <w:p w14:paraId="2CC83673" w14:textId="77777777" w:rsidR="008A03A2" w:rsidRDefault="008A03A2" w:rsidP="008A03A2">
            <w:pPr>
              <w:jc w:val="center"/>
              <w:rPr>
                <w:sz w:val="26"/>
                <w:szCs w:val="26"/>
              </w:rPr>
            </w:pPr>
          </w:p>
          <w:p w14:paraId="16421F52" w14:textId="373CA665" w:rsidR="000233EB" w:rsidRDefault="000233EB" w:rsidP="008A03A2">
            <w:pPr>
              <w:jc w:val="center"/>
              <w:rPr>
                <w:sz w:val="26"/>
                <w:szCs w:val="26"/>
              </w:rPr>
            </w:pPr>
            <w:r>
              <w:rPr>
                <w:sz w:val="26"/>
                <w:szCs w:val="26"/>
              </w:rPr>
              <w:t>13</w:t>
            </w:r>
          </w:p>
        </w:tc>
      </w:tr>
      <w:tr w:rsidR="000233EB" w:rsidRPr="006062B4" w14:paraId="665CC8AF" w14:textId="77777777" w:rsidTr="00FA557A">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55DD8AE" w14:textId="77777777" w:rsidR="000233EB" w:rsidRPr="006062B4" w:rsidRDefault="000233EB" w:rsidP="00FA557A">
            <w:pPr>
              <w:jc w:val="center"/>
              <w:rPr>
                <w:b/>
                <w:bCs/>
                <w:sz w:val="26"/>
                <w:szCs w:val="26"/>
              </w:rPr>
            </w:pPr>
            <w:r w:rsidRPr="006062B4">
              <w:rPr>
                <w:b/>
                <w:bCs/>
                <w:sz w:val="26"/>
                <w:szCs w:val="26"/>
              </w:rPr>
              <w:t>Hoa tiêu nâng cao</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4E3C11" w14:textId="77777777" w:rsidR="000233EB" w:rsidRPr="006062B4" w:rsidRDefault="000233EB" w:rsidP="008A03A2">
            <w:pPr>
              <w:jc w:val="center"/>
              <w:rPr>
                <w:sz w:val="26"/>
                <w:szCs w:val="26"/>
              </w:rPr>
            </w:pPr>
            <w:r w:rsidRPr="006062B4">
              <w:rPr>
                <w:sz w:val="26"/>
                <w:szCs w:val="26"/>
              </w:rPr>
              <w:t>21</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633323" w14:textId="77777777" w:rsidR="000233EB" w:rsidRPr="006062B4" w:rsidRDefault="000233EB" w:rsidP="008A03A2">
            <w:pPr>
              <w:jc w:val="center"/>
              <w:rPr>
                <w:sz w:val="26"/>
                <w:szCs w:val="26"/>
              </w:rPr>
            </w:pPr>
            <w:r w:rsidRPr="006062B4">
              <w:rPr>
                <w:sz w:val="26"/>
                <w:szCs w:val="26"/>
              </w:rPr>
              <w:t>15</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ADB330" w14:textId="77777777" w:rsidR="000233EB" w:rsidRPr="006062B4" w:rsidRDefault="000233EB" w:rsidP="008A03A2">
            <w:pPr>
              <w:jc w:val="center"/>
              <w:rPr>
                <w:sz w:val="26"/>
                <w:szCs w:val="26"/>
              </w:rPr>
            </w:pPr>
            <w:r w:rsidRPr="006062B4">
              <w:rPr>
                <w:sz w:val="26"/>
                <w:szCs w:val="26"/>
              </w:rPr>
              <w:t>21</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BFFA73" w14:textId="77777777" w:rsidR="000233EB" w:rsidRPr="006062B4" w:rsidRDefault="000233EB" w:rsidP="008A03A2">
            <w:pPr>
              <w:jc w:val="center"/>
              <w:rPr>
                <w:sz w:val="26"/>
                <w:szCs w:val="26"/>
              </w:rPr>
            </w:pPr>
            <w:r w:rsidRPr="006062B4">
              <w:rPr>
                <w:sz w:val="26"/>
                <w:szCs w:val="26"/>
              </w:rPr>
              <w:t>34</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F7E898" w14:textId="77777777" w:rsidR="000233EB" w:rsidRPr="006062B4" w:rsidRDefault="000233EB" w:rsidP="008A03A2">
            <w:pPr>
              <w:jc w:val="center"/>
              <w:rPr>
                <w:sz w:val="26"/>
                <w:szCs w:val="26"/>
              </w:rPr>
            </w:pPr>
            <w:r w:rsidRPr="006062B4">
              <w:rPr>
                <w:sz w:val="26"/>
                <w:szCs w:val="26"/>
              </w:rPr>
              <w:t>12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A2C864" w14:textId="77777777" w:rsidR="000233EB" w:rsidRPr="006062B4" w:rsidRDefault="000233EB" w:rsidP="008A03A2">
            <w:pPr>
              <w:jc w:val="center"/>
              <w:rPr>
                <w:sz w:val="26"/>
                <w:szCs w:val="26"/>
              </w:rPr>
            </w:pPr>
            <w:r w:rsidRPr="006062B4">
              <w:rPr>
                <w:sz w:val="26"/>
                <w:szCs w:val="26"/>
              </w:rPr>
              <w:t>27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EE6E83" w14:textId="77777777" w:rsidR="000233EB" w:rsidRPr="006062B4" w:rsidRDefault="000233EB" w:rsidP="008A03A2">
            <w:pPr>
              <w:jc w:val="center"/>
              <w:rPr>
                <w:sz w:val="26"/>
                <w:szCs w:val="26"/>
              </w:rPr>
            </w:pPr>
            <w:r w:rsidRPr="006062B4">
              <w:rPr>
                <w:sz w:val="26"/>
                <w:szCs w:val="26"/>
              </w:rPr>
              <w:t>6</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124453" w14:textId="77777777" w:rsidR="000233EB" w:rsidRPr="006062B4" w:rsidRDefault="000233EB" w:rsidP="008A03A2">
            <w:pPr>
              <w:jc w:val="center"/>
              <w:rPr>
                <w:sz w:val="26"/>
                <w:szCs w:val="26"/>
              </w:rPr>
            </w:pPr>
            <w:r w:rsidRPr="006062B4">
              <w:rPr>
                <w:sz w:val="26"/>
                <w:szCs w:val="26"/>
              </w:rPr>
              <w:t>22</w:t>
            </w:r>
          </w:p>
        </w:tc>
        <w:tc>
          <w:tcPr>
            <w:tcW w:w="736" w:type="dxa"/>
            <w:tcBorders>
              <w:top w:val="single" w:sz="4" w:space="0" w:color="auto"/>
              <w:left w:val="single" w:sz="4" w:space="0" w:color="auto"/>
              <w:bottom w:val="single" w:sz="4" w:space="0" w:color="auto"/>
              <w:right w:val="single" w:sz="4" w:space="0" w:color="auto"/>
            </w:tcBorders>
          </w:tcPr>
          <w:p w14:paraId="2A7468D7" w14:textId="77777777" w:rsidR="008A03A2" w:rsidRDefault="008A03A2" w:rsidP="008A03A2">
            <w:pPr>
              <w:jc w:val="center"/>
              <w:rPr>
                <w:sz w:val="26"/>
                <w:szCs w:val="26"/>
              </w:rPr>
            </w:pPr>
          </w:p>
          <w:p w14:paraId="02D3E87E" w14:textId="0A84F9EB" w:rsidR="000233EB" w:rsidRPr="006062B4" w:rsidRDefault="000233EB" w:rsidP="008A03A2">
            <w:pPr>
              <w:jc w:val="center"/>
              <w:rPr>
                <w:sz w:val="26"/>
                <w:szCs w:val="26"/>
              </w:rPr>
            </w:pPr>
            <w:r>
              <w:rPr>
                <w:sz w:val="26"/>
                <w:szCs w:val="26"/>
              </w:rPr>
              <w:t>11</w:t>
            </w:r>
          </w:p>
        </w:tc>
        <w:tc>
          <w:tcPr>
            <w:tcW w:w="736" w:type="dxa"/>
            <w:tcBorders>
              <w:top w:val="single" w:sz="4" w:space="0" w:color="auto"/>
              <w:left w:val="single" w:sz="4" w:space="0" w:color="auto"/>
              <w:bottom w:val="single" w:sz="4" w:space="0" w:color="auto"/>
              <w:right w:val="single" w:sz="4" w:space="0" w:color="auto"/>
            </w:tcBorders>
          </w:tcPr>
          <w:p w14:paraId="2FDE9EF5" w14:textId="77777777" w:rsidR="008A03A2" w:rsidRDefault="008A03A2" w:rsidP="008A03A2">
            <w:pPr>
              <w:jc w:val="center"/>
              <w:rPr>
                <w:sz w:val="26"/>
                <w:szCs w:val="26"/>
              </w:rPr>
            </w:pPr>
          </w:p>
          <w:p w14:paraId="168AD011" w14:textId="17DDB7BD" w:rsidR="000233EB" w:rsidRDefault="000233EB" w:rsidP="008A03A2">
            <w:pPr>
              <w:jc w:val="center"/>
              <w:rPr>
                <w:sz w:val="26"/>
                <w:szCs w:val="26"/>
              </w:rPr>
            </w:pPr>
            <w:r>
              <w:rPr>
                <w:sz w:val="26"/>
                <w:szCs w:val="26"/>
              </w:rPr>
              <w:t>32</w:t>
            </w:r>
          </w:p>
        </w:tc>
      </w:tr>
      <w:tr w:rsidR="000233EB" w:rsidRPr="006062B4" w14:paraId="21F207D9" w14:textId="77777777" w:rsidTr="00FA557A">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8BCE60" w14:textId="77777777" w:rsidR="000233EB" w:rsidRPr="00A02BED" w:rsidRDefault="000233EB" w:rsidP="00FA557A">
            <w:pPr>
              <w:spacing w:after="120"/>
              <w:ind w:left="720" w:hanging="720"/>
              <w:jc w:val="center"/>
              <w:rPr>
                <w:b/>
                <w:bCs/>
                <w:sz w:val="26"/>
                <w:szCs w:val="26"/>
              </w:rPr>
            </w:pPr>
            <w:r w:rsidRPr="00A02BED">
              <w:rPr>
                <w:b/>
                <w:bCs/>
                <w:sz w:val="26"/>
                <w:szCs w:val="26"/>
              </w:rPr>
              <w:t>Tổng</w:t>
            </w:r>
            <w:r>
              <w:rPr>
                <w:b/>
                <w:bCs/>
                <w:sz w:val="26"/>
                <w:szCs w:val="26"/>
              </w:rPr>
              <w:t xml:space="preserve"> số</w:t>
            </w:r>
          </w:p>
        </w:tc>
        <w:tc>
          <w:tcPr>
            <w:tcW w:w="736" w:type="dxa"/>
            <w:tcBorders>
              <w:top w:val="single" w:sz="4" w:space="0" w:color="auto"/>
              <w:left w:val="nil"/>
              <w:bottom w:val="single" w:sz="4" w:space="0" w:color="auto"/>
              <w:right w:val="single" w:sz="4" w:space="0" w:color="auto"/>
            </w:tcBorders>
            <w:shd w:val="clear" w:color="auto" w:fill="auto"/>
            <w:noWrap/>
            <w:vAlign w:val="bottom"/>
            <w:hideMark/>
          </w:tcPr>
          <w:p w14:paraId="5E78E275" w14:textId="77777777" w:rsidR="000233EB" w:rsidRPr="006062B4" w:rsidRDefault="000233EB" w:rsidP="00FA557A">
            <w:pPr>
              <w:spacing w:after="120"/>
              <w:jc w:val="center"/>
              <w:rPr>
                <w:b/>
                <w:bCs/>
                <w:sz w:val="26"/>
                <w:szCs w:val="26"/>
              </w:rPr>
            </w:pPr>
            <w:r w:rsidRPr="006062B4">
              <w:rPr>
                <w:b/>
                <w:bCs/>
                <w:sz w:val="26"/>
                <w:szCs w:val="26"/>
              </w:rPr>
              <w:t>47</w:t>
            </w:r>
          </w:p>
        </w:tc>
        <w:tc>
          <w:tcPr>
            <w:tcW w:w="681" w:type="dxa"/>
            <w:tcBorders>
              <w:top w:val="single" w:sz="4" w:space="0" w:color="auto"/>
              <w:left w:val="nil"/>
              <w:bottom w:val="single" w:sz="4" w:space="0" w:color="auto"/>
              <w:right w:val="single" w:sz="4" w:space="0" w:color="auto"/>
            </w:tcBorders>
            <w:shd w:val="clear" w:color="auto" w:fill="auto"/>
            <w:noWrap/>
            <w:vAlign w:val="bottom"/>
            <w:hideMark/>
          </w:tcPr>
          <w:p w14:paraId="5E949B70" w14:textId="77777777" w:rsidR="000233EB" w:rsidRPr="006062B4" w:rsidRDefault="000233EB" w:rsidP="00FA557A">
            <w:pPr>
              <w:spacing w:after="120"/>
              <w:jc w:val="center"/>
              <w:rPr>
                <w:b/>
                <w:bCs/>
                <w:sz w:val="26"/>
                <w:szCs w:val="26"/>
              </w:rPr>
            </w:pPr>
            <w:r w:rsidRPr="006062B4">
              <w:rPr>
                <w:b/>
                <w:bCs/>
                <w:sz w:val="26"/>
                <w:szCs w:val="26"/>
              </w:rPr>
              <w:t>35</w:t>
            </w:r>
          </w:p>
        </w:tc>
        <w:tc>
          <w:tcPr>
            <w:tcW w:w="736" w:type="dxa"/>
            <w:tcBorders>
              <w:top w:val="single" w:sz="4" w:space="0" w:color="auto"/>
              <w:left w:val="nil"/>
              <w:bottom w:val="single" w:sz="4" w:space="0" w:color="auto"/>
              <w:right w:val="single" w:sz="4" w:space="0" w:color="auto"/>
            </w:tcBorders>
            <w:shd w:val="clear" w:color="auto" w:fill="auto"/>
            <w:noWrap/>
            <w:vAlign w:val="bottom"/>
            <w:hideMark/>
          </w:tcPr>
          <w:p w14:paraId="061BF7F9" w14:textId="77777777" w:rsidR="000233EB" w:rsidRPr="006062B4" w:rsidRDefault="000233EB" w:rsidP="00FA557A">
            <w:pPr>
              <w:spacing w:after="120"/>
              <w:jc w:val="center"/>
              <w:rPr>
                <w:b/>
                <w:bCs/>
                <w:sz w:val="26"/>
                <w:szCs w:val="26"/>
              </w:rPr>
            </w:pPr>
            <w:r w:rsidRPr="006062B4">
              <w:rPr>
                <w:b/>
                <w:bCs/>
                <w:sz w:val="26"/>
                <w:szCs w:val="26"/>
              </w:rPr>
              <w:t>52</w:t>
            </w:r>
          </w:p>
        </w:tc>
        <w:tc>
          <w:tcPr>
            <w:tcW w:w="736" w:type="dxa"/>
            <w:tcBorders>
              <w:top w:val="single" w:sz="4" w:space="0" w:color="auto"/>
              <w:left w:val="nil"/>
              <w:bottom w:val="single" w:sz="4" w:space="0" w:color="auto"/>
              <w:right w:val="single" w:sz="4" w:space="0" w:color="auto"/>
            </w:tcBorders>
            <w:shd w:val="clear" w:color="auto" w:fill="auto"/>
            <w:noWrap/>
            <w:vAlign w:val="bottom"/>
            <w:hideMark/>
          </w:tcPr>
          <w:p w14:paraId="7A04CE97" w14:textId="77777777" w:rsidR="000233EB" w:rsidRPr="006062B4" w:rsidRDefault="000233EB" w:rsidP="00FA557A">
            <w:pPr>
              <w:spacing w:after="120"/>
              <w:jc w:val="center"/>
              <w:rPr>
                <w:b/>
                <w:bCs/>
                <w:sz w:val="26"/>
                <w:szCs w:val="26"/>
              </w:rPr>
            </w:pPr>
            <w:r w:rsidRPr="006062B4">
              <w:rPr>
                <w:b/>
                <w:bCs/>
                <w:sz w:val="26"/>
                <w:szCs w:val="26"/>
              </w:rPr>
              <w:t>57</w:t>
            </w:r>
          </w:p>
        </w:tc>
        <w:tc>
          <w:tcPr>
            <w:tcW w:w="796" w:type="dxa"/>
            <w:tcBorders>
              <w:top w:val="single" w:sz="4" w:space="0" w:color="auto"/>
              <w:left w:val="nil"/>
              <w:bottom w:val="single" w:sz="4" w:space="0" w:color="auto"/>
              <w:right w:val="single" w:sz="4" w:space="0" w:color="auto"/>
            </w:tcBorders>
            <w:shd w:val="clear" w:color="auto" w:fill="auto"/>
            <w:noWrap/>
            <w:vAlign w:val="bottom"/>
            <w:hideMark/>
          </w:tcPr>
          <w:p w14:paraId="25766D78" w14:textId="77777777" w:rsidR="000233EB" w:rsidRPr="006062B4" w:rsidRDefault="000233EB" w:rsidP="00FA557A">
            <w:pPr>
              <w:spacing w:after="120"/>
              <w:jc w:val="center"/>
              <w:rPr>
                <w:b/>
                <w:bCs/>
                <w:sz w:val="26"/>
                <w:szCs w:val="26"/>
              </w:rPr>
            </w:pPr>
            <w:r w:rsidRPr="006062B4">
              <w:rPr>
                <w:b/>
                <w:bCs/>
                <w:sz w:val="26"/>
                <w:szCs w:val="26"/>
              </w:rPr>
              <w:t>51</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4B525CC0" w14:textId="77777777" w:rsidR="000233EB" w:rsidRPr="006062B4" w:rsidRDefault="000233EB" w:rsidP="00FA557A">
            <w:pPr>
              <w:spacing w:after="120"/>
              <w:jc w:val="center"/>
              <w:rPr>
                <w:b/>
                <w:bCs/>
                <w:sz w:val="26"/>
                <w:szCs w:val="26"/>
              </w:rPr>
            </w:pPr>
            <w:r w:rsidRPr="006062B4">
              <w:rPr>
                <w:b/>
                <w:bCs/>
                <w:sz w:val="26"/>
                <w:szCs w:val="26"/>
              </w:rPr>
              <w:t>48</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31BD0885" w14:textId="77777777" w:rsidR="000233EB" w:rsidRPr="006062B4" w:rsidRDefault="000233EB" w:rsidP="00FA557A">
            <w:pPr>
              <w:spacing w:after="120"/>
              <w:jc w:val="center"/>
              <w:rPr>
                <w:b/>
                <w:bCs/>
                <w:sz w:val="26"/>
                <w:szCs w:val="26"/>
              </w:rPr>
            </w:pPr>
            <w:r w:rsidRPr="006062B4">
              <w:rPr>
                <w:b/>
                <w:bCs/>
                <w:sz w:val="26"/>
                <w:szCs w:val="26"/>
              </w:rPr>
              <w:t>45</w:t>
            </w:r>
          </w:p>
        </w:tc>
        <w:tc>
          <w:tcPr>
            <w:tcW w:w="736" w:type="dxa"/>
            <w:tcBorders>
              <w:top w:val="single" w:sz="4" w:space="0" w:color="auto"/>
              <w:left w:val="nil"/>
              <w:bottom w:val="single" w:sz="4" w:space="0" w:color="auto"/>
              <w:right w:val="single" w:sz="4" w:space="0" w:color="auto"/>
            </w:tcBorders>
            <w:shd w:val="clear" w:color="auto" w:fill="auto"/>
            <w:noWrap/>
            <w:vAlign w:val="bottom"/>
            <w:hideMark/>
          </w:tcPr>
          <w:p w14:paraId="3BFC96D5" w14:textId="77777777" w:rsidR="000233EB" w:rsidRPr="006062B4" w:rsidRDefault="000233EB" w:rsidP="00FA557A">
            <w:pPr>
              <w:spacing w:after="120"/>
              <w:jc w:val="center"/>
              <w:rPr>
                <w:b/>
                <w:bCs/>
                <w:sz w:val="26"/>
                <w:szCs w:val="26"/>
              </w:rPr>
            </w:pPr>
            <w:r w:rsidRPr="006062B4">
              <w:rPr>
                <w:b/>
                <w:bCs/>
                <w:sz w:val="26"/>
                <w:szCs w:val="26"/>
              </w:rPr>
              <w:t>48</w:t>
            </w:r>
          </w:p>
        </w:tc>
        <w:tc>
          <w:tcPr>
            <w:tcW w:w="736" w:type="dxa"/>
            <w:tcBorders>
              <w:top w:val="single" w:sz="4" w:space="0" w:color="auto"/>
              <w:left w:val="nil"/>
              <w:bottom w:val="single" w:sz="4" w:space="0" w:color="auto"/>
              <w:right w:val="single" w:sz="4" w:space="0" w:color="auto"/>
            </w:tcBorders>
          </w:tcPr>
          <w:p w14:paraId="64332BEA" w14:textId="77777777" w:rsidR="000233EB" w:rsidRPr="006062B4" w:rsidRDefault="000233EB" w:rsidP="00FA557A">
            <w:pPr>
              <w:spacing w:after="120"/>
              <w:jc w:val="center"/>
              <w:rPr>
                <w:b/>
                <w:bCs/>
                <w:sz w:val="26"/>
                <w:szCs w:val="26"/>
              </w:rPr>
            </w:pPr>
            <w:r>
              <w:rPr>
                <w:b/>
                <w:bCs/>
                <w:sz w:val="26"/>
                <w:szCs w:val="26"/>
              </w:rPr>
              <w:t>22</w:t>
            </w:r>
          </w:p>
        </w:tc>
        <w:tc>
          <w:tcPr>
            <w:tcW w:w="736" w:type="dxa"/>
            <w:tcBorders>
              <w:top w:val="single" w:sz="4" w:space="0" w:color="auto"/>
              <w:left w:val="nil"/>
              <w:bottom w:val="single" w:sz="4" w:space="0" w:color="auto"/>
              <w:right w:val="single" w:sz="4" w:space="0" w:color="auto"/>
            </w:tcBorders>
          </w:tcPr>
          <w:p w14:paraId="1A28953D" w14:textId="77777777" w:rsidR="000233EB" w:rsidRDefault="000233EB" w:rsidP="00FA557A">
            <w:pPr>
              <w:spacing w:after="120"/>
              <w:jc w:val="center"/>
              <w:rPr>
                <w:b/>
                <w:bCs/>
                <w:sz w:val="26"/>
                <w:szCs w:val="26"/>
              </w:rPr>
            </w:pPr>
            <w:r>
              <w:rPr>
                <w:b/>
                <w:bCs/>
                <w:sz w:val="26"/>
                <w:szCs w:val="26"/>
              </w:rPr>
              <w:t>45</w:t>
            </w:r>
          </w:p>
        </w:tc>
      </w:tr>
    </w:tbl>
    <w:p w14:paraId="5A5249E5" w14:textId="5D23DCA2" w:rsidR="00B57661" w:rsidRDefault="00B57661" w:rsidP="000233EB"/>
    <w:p w14:paraId="7DB6880D" w14:textId="77777777" w:rsidR="008019FE" w:rsidRPr="00F93000" w:rsidRDefault="008019FE" w:rsidP="008019FE">
      <w:pPr>
        <w:shd w:val="clear" w:color="auto" w:fill="FFFFFF"/>
        <w:spacing w:before="120" w:after="120" w:line="234" w:lineRule="atLeast"/>
        <w:rPr>
          <w:b/>
          <w:bCs/>
          <w:lang w:val="pt-BR"/>
        </w:rPr>
      </w:pPr>
      <w:r w:rsidRPr="00F93000">
        <w:rPr>
          <w:b/>
          <w:bCs/>
          <w:lang w:val="pt-BR"/>
        </w:rPr>
        <w:tab/>
        <w:t>2. Mục tiêu xây dựng chính sách</w:t>
      </w:r>
    </w:p>
    <w:p w14:paraId="5E8E468B" w14:textId="77777777" w:rsidR="008019FE" w:rsidRPr="00F93000" w:rsidRDefault="008019FE" w:rsidP="008019FE">
      <w:pPr>
        <w:spacing w:before="120" w:after="120" w:line="264" w:lineRule="auto"/>
        <w:jc w:val="both"/>
        <w:rPr>
          <w:lang w:val="pt-BR"/>
        </w:rPr>
      </w:pPr>
      <w:r w:rsidRPr="00F93000">
        <w:rPr>
          <w:lang w:val="pt-BR"/>
        </w:rPr>
        <w:tab/>
        <w:t xml:space="preserve">- Thể chế hóa đầy đủ, kịp thời chủ trương, đường lối, chính sách của Đảng, Nhà nước về công tác quản lý hoạt động hàng hải; góp phần nâng cao hiệu lực, hiệu quả của quản lý nhà, kịp thời giải quyết những khó khăn, vướng mắc phát sinh trong thực tiễn hiện nay. </w:t>
      </w:r>
    </w:p>
    <w:p w14:paraId="13352B06" w14:textId="77777777" w:rsidR="008019FE" w:rsidRPr="00F93000" w:rsidRDefault="008019FE" w:rsidP="008019FE">
      <w:pPr>
        <w:spacing w:before="120" w:after="120" w:line="264" w:lineRule="auto"/>
        <w:jc w:val="both"/>
        <w:rPr>
          <w:lang w:val="pt-BR"/>
        </w:rPr>
      </w:pPr>
      <w:r w:rsidRPr="00F93000">
        <w:rPr>
          <w:lang w:val="pt-BR"/>
        </w:rPr>
        <w:tab/>
        <w:t>- Hoàn thiện hệ thống văn bản quy phạm pháp luật về hàng hải, bổ sung những đối tượng quản lý phát sinh trong thực tiễn; bảo đảm tính thống nhất, đồng bộ trong hệ thống pháp luật.</w:t>
      </w:r>
    </w:p>
    <w:p w14:paraId="79C04790" w14:textId="77777777" w:rsidR="008019FE" w:rsidRPr="00F93000" w:rsidRDefault="008019FE" w:rsidP="008019FE">
      <w:pPr>
        <w:shd w:val="clear" w:color="auto" w:fill="FFFFFF"/>
        <w:spacing w:before="120" w:after="120" w:line="234" w:lineRule="atLeast"/>
        <w:rPr>
          <w:lang w:val="pt-BR"/>
        </w:rPr>
      </w:pPr>
      <w:r w:rsidRPr="00F93000">
        <w:rPr>
          <w:b/>
          <w:bCs/>
          <w:lang w:val="pt-BR"/>
        </w:rPr>
        <w:tab/>
        <w:t>II. ĐÁNH GIÁ TÁC ĐỘNG CỦA CHÍNH SÁCH</w:t>
      </w:r>
    </w:p>
    <w:p w14:paraId="60865CF7" w14:textId="77777777" w:rsidR="008019FE" w:rsidRPr="00F93000" w:rsidRDefault="008019FE" w:rsidP="00295111">
      <w:pPr>
        <w:shd w:val="clear" w:color="auto" w:fill="FFFFFF"/>
        <w:spacing w:before="120" w:after="120" w:line="234" w:lineRule="atLeast"/>
        <w:jc w:val="both"/>
        <w:rPr>
          <w:spacing w:val="-4"/>
          <w:lang w:val="pt-BR"/>
        </w:rPr>
      </w:pPr>
      <w:r w:rsidRPr="00F93000">
        <w:rPr>
          <w:b/>
          <w:bCs/>
          <w:spacing w:val="-4"/>
          <w:lang w:val="pt-BR"/>
        </w:rPr>
        <w:tab/>
        <w:t>1. Chính sách: </w:t>
      </w:r>
      <w:r w:rsidRPr="00F93000">
        <w:rPr>
          <w:spacing w:val="-4"/>
          <w:lang w:val="pt-BR"/>
        </w:rPr>
        <w:t>giải quyết những khó khăn, vướng mắc phát sinh trong thực tiễn</w:t>
      </w:r>
    </w:p>
    <w:p w14:paraId="1DA96119" w14:textId="77777777" w:rsidR="008019FE" w:rsidRPr="00F93000" w:rsidRDefault="008019FE" w:rsidP="008019FE">
      <w:pPr>
        <w:shd w:val="clear" w:color="auto" w:fill="FFFFFF"/>
        <w:spacing w:before="120" w:after="120" w:line="234" w:lineRule="atLeast"/>
        <w:jc w:val="both"/>
        <w:rPr>
          <w:lang w:val="pt-BR"/>
        </w:rPr>
      </w:pPr>
      <w:r w:rsidRPr="00F93000">
        <w:rPr>
          <w:lang w:val="pt-BR"/>
        </w:rPr>
        <w:tab/>
        <w:t>1.1. Xác định vấn đề và mục tiêu giải quyết vấn đề</w:t>
      </w:r>
    </w:p>
    <w:p w14:paraId="05FECF1B" w14:textId="77777777" w:rsidR="008019FE" w:rsidRPr="00C35CA8" w:rsidRDefault="008019FE" w:rsidP="008019FE">
      <w:pPr>
        <w:spacing w:before="120"/>
        <w:ind w:firstLine="709"/>
        <w:jc w:val="both"/>
        <w:rPr>
          <w:lang w:val="vi-VN"/>
        </w:rPr>
      </w:pPr>
      <w:r w:rsidRPr="00C35CA8">
        <w:rPr>
          <w:lang w:val="vi-VN"/>
        </w:rPr>
        <w:t xml:space="preserve">- Luật Căn cước có hiệu lực ngày 01/7/2024, theo đó Chứng minh nhân dân 9 số sẽ hết hiệu lực từ 01/01/2025, vì vậy cần rà soát quy định về Chứng minh thư nhân dân và Căn cước công dân trong Thông tư để sửa đổi bảo đảm đồng bộ tuân thủ theo quy định; </w:t>
      </w:r>
    </w:p>
    <w:p w14:paraId="1B5BFC2D" w14:textId="77777777" w:rsidR="008019FE" w:rsidRPr="00C35CA8" w:rsidRDefault="008019FE" w:rsidP="008019FE">
      <w:pPr>
        <w:spacing w:before="120"/>
        <w:ind w:firstLine="709"/>
        <w:jc w:val="both"/>
        <w:rPr>
          <w:lang w:val="vi-VN"/>
        </w:rPr>
      </w:pPr>
      <w:r w:rsidRPr="00C35CA8">
        <w:rPr>
          <w:lang w:val="vi-VN"/>
        </w:rPr>
        <w:t xml:space="preserve"> - Việc quy đổi trình độ tiếng Anh dùng cho hoa tiêu hàng hải còn nhiều vướng mắc, vì vậy cần quy định rõ giá trị tham chiếu tương đương của tiếng Anh dùng cho hoa tiêu hàng hải; </w:t>
      </w:r>
    </w:p>
    <w:p w14:paraId="32E61B1F" w14:textId="77777777" w:rsidR="008019FE" w:rsidRPr="00C35CA8" w:rsidRDefault="008019FE" w:rsidP="008019FE">
      <w:pPr>
        <w:spacing w:before="120"/>
        <w:ind w:firstLine="709"/>
        <w:jc w:val="both"/>
        <w:rPr>
          <w:lang w:val="vi-VN"/>
        </w:rPr>
      </w:pPr>
      <w:r w:rsidRPr="00C35CA8">
        <w:rPr>
          <w:lang w:val="vi-VN"/>
        </w:rPr>
        <w:t>- Phân cấp cho cơ sở đào tạo thành lập Hội đồng thi các khóa đào tạo hoa tiêu hàng hải để nhằm phát huy tính chủ động trong công tác đào tạo, huấn luyện hoa tiêu hàng hải.</w:t>
      </w:r>
    </w:p>
    <w:p w14:paraId="40AB46C2" w14:textId="77777777" w:rsidR="008019FE" w:rsidRPr="00C35CA8" w:rsidRDefault="008019FE" w:rsidP="008019FE">
      <w:pPr>
        <w:spacing w:before="120"/>
        <w:ind w:firstLine="709"/>
        <w:jc w:val="both"/>
        <w:rPr>
          <w:spacing w:val="-4"/>
          <w:lang w:val="vi-VN"/>
        </w:rPr>
      </w:pPr>
      <w:r w:rsidRPr="00C35CA8">
        <w:rPr>
          <w:spacing w:val="-4"/>
          <w:lang w:val="vi-VN"/>
        </w:rPr>
        <w:t>- Hiện nay có một số trường hợp hoa tiêu hàng hải dẫn tàu vào khu vực đường thủy nội địa do Cảng vụ đường thủy nội địa quản lý, khi xác nhận số lượt dẫn tàu của hoa tiêu hàng hải, yêu cầu phải có xác nhận của Cảng vụ đường thủy nội địa khu vực đó. Tuy nhiên, trong Thông tư chưa quy định trách nhiệm của Cảng vụ đường thủy nội địa. Do đó, vì vậy cần phải bổ sung trách nhiệm của Cảng vụ đường thủy nội địa;</w:t>
      </w:r>
    </w:p>
    <w:p w14:paraId="05C659CC" w14:textId="77777777" w:rsidR="008019FE" w:rsidRPr="00C35CA8" w:rsidRDefault="008019FE" w:rsidP="008019FE">
      <w:pPr>
        <w:spacing w:before="120"/>
        <w:ind w:firstLine="709"/>
        <w:jc w:val="both"/>
        <w:rPr>
          <w:lang w:val="vi-VN"/>
        </w:rPr>
      </w:pPr>
      <w:r w:rsidRPr="00C35CA8">
        <w:rPr>
          <w:lang w:val="vi-VN"/>
        </w:rPr>
        <w:t xml:space="preserve">- Hiện nay các cảng biển thường xuyên tiếp nhận tàu có trọng tải và chiều dài lớn vào cảng biển, đòi hỏi  năng lực và trình độ chuyên môn cao của hoa tiêu hàng </w:t>
      </w:r>
      <w:r w:rsidRPr="00C35CA8">
        <w:rPr>
          <w:lang w:val="vi-VN"/>
        </w:rPr>
        <w:lastRenderedPageBreak/>
        <w:t xml:space="preserve">hải để bảo đảm công tác dẫn tàu an toàn. Do vậy cần quy định trách nhiệm của Giám đốc hoa tiêu việc phân hạng hoa tiêu thành các cấp độ khác nhau để phù hợp với năng lực của hoa tiêu dẫn tàu ra, vào cảng biển; </w:t>
      </w:r>
    </w:p>
    <w:p w14:paraId="256F8801" w14:textId="77777777" w:rsidR="008019FE" w:rsidRPr="00C35CA8" w:rsidRDefault="008019FE" w:rsidP="008019FE">
      <w:pPr>
        <w:spacing w:before="120"/>
        <w:ind w:firstLine="709"/>
        <w:jc w:val="both"/>
        <w:rPr>
          <w:lang w:val="vi-VN"/>
        </w:rPr>
      </w:pPr>
      <w:r w:rsidRPr="00C35CA8">
        <w:rPr>
          <w:lang w:val="vi-VN"/>
        </w:rPr>
        <w:t>- Sửa đổi một số thủ tục hành chính, Phụ lục về mẫu đơn đề nghị cấp lại Giấy chứng nhận khả năng chuyên môn hoa tiêu hàng hải, Giấy chứng nhận vùng hoạt động hoa tiêu hàng hải theo chỉ đạo về cải cách, đơn giản hóa thủ tục hành chính của Chính phủ.</w:t>
      </w:r>
    </w:p>
    <w:p w14:paraId="42C15E3D" w14:textId="77777777" w:rsidR="008019FE" w:rsidRPr="00F93000" w:rsidRDefault="008019FE" w:rsidP="008019FE">
      <w:pPr>
        <w:shd w:val="clear" w:color="auto" w:fill="FFFFFF"/>
        <w:spacing w:before="120" w:after="120" w:line="234" w:lineRule="atLeast"/>
        <w:jc w:val="both"/>
        <w:rPr>
          <w:lang w:val="vi-VN"/>
        </w:rPr>
      </w:pPr>
      <w:r w:rsidRPr="00C35CA8">
        <w:rPr>
          <w:lang w:val="vi-VN"/>
        </w:rPr>
        <w:tab/>
      </w:r>
      <w:r w:rsidRPr="00F93000">
        <w:rPr>
          <w:lang w:val="vi-VN"/>
        </w:rPr>
        <w:t>1.2. Các giải pháp và đánh giá tác động của các giải pháp đối với đối tượng chịu sự tác động trực tiếp của chính sách và các đối tượng khác có liên quan</w:t>
      </w:r>
    </w:p>
    <w:p w14:paraId="0F4915C4" w14:textId="77777777" w:rsidR="008019FE" w:rsidRPr="00F93000" w:rsidRDefault="008019FE" w:rsidP="008019FE">
      <w:pPr>
        <w:shd w:val="clear" w:color="auto" w:fill="FFFFFF"/>
        <w:spacing w:before="120" w:after="120" w:line="234" w:lineRule="atLeast"/>
        <w:jc w:val="both"/>
        <w:rPr>
          <w:lang w:val="vi-VN"/>
        </w:rPr>
      </w:pPr>
      <w:r w:rsidRPr="00F93000">
        <w:rPr>
          <w:lang w:val="vi-VN"/>
        </w:rPr>
        <w:tab/>
        <w:t>- Tác động đối với hệ thống pháp luật:</w:t>
      </w:r>
    </w:p>
    <w:p w14:paraId="01D4BE3F" w14:textId="77777777" w:rsidR="008019FE" w:rsidRPr="00F93000" w:rsidRDefault="008019FE" w:rsidP="008019FE">
      <w:pPr>
        <w:spacing w:before="120" w:after="120" w:line="264" w:lineRule="auto"/>
        <w:ind w:firstLine="720"/>
        <w:jc w:val="both"/>
        <w:rPr>
          <w:lang w:val="vi-VN"/>
        </w:rPr>
      </w:pPr>
      <w:r w:rsidRPr="00F93000">
        <w:rPr>
          <w:lang w:val="vi-VN"/>
        </w:rPr>
        <w:t xml:space="preserve">+ Tác động tích cực  </w:t>
      </w:r>
    </w:p>
    <w:p w14:paraId="599339A6" w14:textId="77777777" w:rsidR="008019FE" w:rsidRPr="00F93000" w:rsidRDefault="008019FE" w:rsidP="008019FE">
      <w:pPr>
        <w:spacing w:before="120" w:after="120" w:line="264" w:lineRule="auto"/>
        <w:ind w:firstLine="720"/>
        <w:jc w:val="both"/>
        <w:rPr>
          <w:lang w:val="vi-VN"/>
        </w:rPr>
      </w:pPr>
      <w:r w:rsidRPr="00F93000">
        <w:rPr>
          <w:lang w:val="vi-VN"/>
        </w:rPr>
        <w:t>Thống nhất với hệ thống văn bản quy phạm pháp luật về hàng hải.</w:t>
      </w:r>
    </w:p>
    <w:p w14:paraId="00176915" w14:textId="77777777" w:rsidR="008019FE" w:rsidRPr="00F93000" w:rsidRDefault="008019FE" w:rsidP="008019FE">
      <w:pPr>
        <w:shd w:val="clear" w:color="auto" w:fill="FFFFFF"/>
        <w:spacing w:before="120" w:after="120" w:line="234" w:lineRule="atLeast"/>
        <w:jc w:val="both"/>
        <w:rPr>
          <w:lang w:val="vi-VN"/>
        </w:rPr>
      </w:pPr>
      <w:r w:rsidRPr="00F93000">
        <w:rPr>
          <w:lang w:val="vi-VN"/>
        </w:rPr>
        <w:tab/>
        <w:t>+ Tác động tiêu cực (không)</w:t>
      </w:r>
    </w:p>
    <w:p w14:paraId="1D26F198" w14:textId="77777777" w:rsidR="008019FE" w:rsidRPr="00F93000" w:rsidRDefault="008019FE" w:rsidP="008019FE">
      <w:pPr>
        <w:shd w:val="clear" w:color="auto" w:fill="FFFFFF"/>
        <w:spacing w:before="120" w:after="120" w:line="234" w:lineRule="atLeast"/>
        <w:jc w:val="both"/>
        <w:rPr>
          <w:lang w:val="vi-VN"/>
        </w:rPr>
      </w:pPr>
      <w:r w:rsidRPr="00F93000">
        <w:rPr>
          <w:lang w:val="vi-VN"/>
        </w:rPr>
        <w:tab/>
        <w:t>- Tác động về kinh tế - xã hội: Tăng cường an toàn trong công tác dẫn tàu của hoa tiêu hàng hải, góp phần đảm bảo an toàn cho con người, tài sản và bảo vệ môi trường.</w:t>
      </w:r>
    </w:p>
    <w:p w14:paraId="7A0F1913" w14:textId="77777777" w:rsidR="008019FE" w:rsidRPr="00F93000" w:rsidRDefault="008019FE" w:rsidP="008019FE">
      <w:pPr>
        <w:shd w:val="clear" w:color="auto" w:fill="FFFFFF"/>
        <w:spacing w:before="120" w:after="120" w:line="234" w:lineRule="atLeast"/>
        <w:jc w:val="both"/>
        <w:rPr>
          <w:lang w:val="vi-VN"/>
        </w:rPr>
      </w:pPr>
      <w:r w:rsidRPr="00F93000">
        <w:rPr>
          <w:lang w:val="vi-VN"/>
        </w:rPr>
        <w:tab/>
        <w:t>- Tác động về giới (nếu có): không</w:t>
      </w:r>
    </w:p>
    <w:p w14:paraId="3041F8F8" w14:textId="331F3894" w:rsidR="008019FE" w:rsidRDefault="008019FE" w:rsidP="008019FE">
      <w:pPr>
        <w:shd w:val="clear" w:color="auto" w:fill="FFFFFF"/>
        <w:spacing w:before="120" w:after="120" w:line="234" w:lineRule="atLeast"/>
        <w:jc w:val="both"/>
        <w:rPr>
          <w:lang w:val="vi-VN"/>
        </w:rPr>
      </w:pPr>
      <w:r w:rsidRPr="00F93000">
        <w:rPr>
          <w:lang w:val="vi-VN"/>
        </w:rPr>
        <w:tab/>
      </w:r>
      <w:r w:rsidRPr="00FF7135">
        <w:rPr>
          <w:lang w:val="vi-VN"/>
        </w:rPr>
        <w:t>- Tác động của thủ tục hành chính:  Bãi bỏ 2 thủ tục hành chính và sửa đổi, bổ sung để đơn giản hóa 03 thủ tục hành chính để thuận tiện cho người dân và doanh nghiệp</w:t>
      </w:r>
      <w:r w:rsidR="00A1324B" w:rsidRPr="00A1324B">
        <w:rPr>
          <w:lang w:val="vi-VN"/>
        </w:rPr>
        <w:t>, cụ thể:</w:t>
      </w:r>
    </w:p>
    <w:p w14:paraId="7B710CA0" w14:textId="7DAD0A04" w:rsidR="00A1324B" w:rsidRDefault="001B3695" w:rsidP="00A1324B">
      <w:pPr>
        <w:spacing w:before="120"/>
        <w:ind w:firstLine="567"/>
        <w:jc w:val="both"/>
        <w:rPr>
          <w:lang w:val="pt-BR"/>
        </w:rPr>
      </w:pPr>
      <w:r>
        <w:rPr>
          <w:lang w:val="pt-BR"/>
        </w:rPr>
        <w:t>+</w:t>
      </w:r>
      <w:r w:rsidR="00A1324B">
        <w:rPr>
          <w:lang w:val="pt-BR"/>
        </w:rPr>
        <w:t xml:space="preserve"> Đối với TTHC </w:t>
      </w:r>
      <w:r w:rsidR="00A1324B">
        <w:rPr>
          <w:color w:val="000000"/>
          <w:lang w:val="pt-BR"/>
        </w:rPr>
        <w:t>cấp lại Giấy chứng nhận khả năng chuyên môn hoa tiêu hàng hải chi phí thực hiện 496,940 đồng/1hồ sơ/1lần nộp, 17,392,900 đồng/năm đối với hình thức nộp trực tiếp; 440,683 đồng/1hồ sơ/1 lần nộp, 15,423,900 đồng/năm  đối với hình thức bưu điện; 420,111 đồng/1hồ sơ/1 lần nộp, 14,703,900 đồng/năm  đối với hình thức internet, sau khi thực hiện bãi bỏ TTHC chi phí tuân thủ thủ tục hành chính bãi bỏ là bằng 0, tiết kiệm được 17,392,900 đồng/năm đối với hình thức trực tiếp, tiết kiệm được 15,423,900 đồng/năm đối với hình thức bưu điện và tiết kiệm được 14,703,900 đối với hình thức internet;</w:t>
      </w:r>
    </w:p>
    <w:p w14:paraId="3AFE4505" w14:textId="553CA2AC" w:rsidR="00A1324B" w:rsidRDefault="001B3695" w:rsidP="00A1324B">
      <w:pPr>
        <w:spacing w:before="120"/>
        <w:ind w:firstLine="567"/>
        <w:jc w:val="both"/>
        <w:rPr>
          <w:color w:val="000000"/>
          <w:lang w:val="pt-BR"/>
        </w:rPr>
      </w:pPr>
      <w:r>
        <w:rPr>
          <w:lang w:val="pt-BR"/>
        </w:rPr>
        <w:t>+</w:t>
      </w:r>
      <w:r w:rsidR="00A1324B">
        <w:rPr>
          <w:lang w:val="pt-BR"/>
        </w:rPr>
        <w:t xml:space="preserve"> Đối với TTHC cấp lại </w:t>
      </w:r>
      <w:r w:rsidR="00A1324B">
        <w:rPr>
          <w:color w:val="000000"/>
          <w:lang w:val="pt-BR"/>
        </w:rPr>
        <w:t>Giấy chứng nhận vùng hoạt động hoa tiêu hàng hải</w:t>
      </w:r>
      <w:r w:rsidR="00A1324B" w:rsidRPr="005D6ACB">
        <w:rPr>
          <w:color w:val="000000"/>
          <w:lang w:val="pt-BR"/>
        </w:rPr>
        <w:t xml:space="preserve"> </w:t>
      </w:r>
      <w:r w:rsidR="00A1324B">
        <w:rPr>
          <w:color w:val="000000"/>
          <w:lang w:val="pt-BR"/>
        </w:rPr>
        <w:t>chi phí thực hiện 496,940 đồng/1hồ sơ/1lần nộp, 17,392,900 đồng/năm đối với hình thức nộp trực tiếp; 440,683 đồng/1hồ sơ/1 lần nộp, 15,423,900 đồng  đối với hình thức bưu điện; 440,683 đồng/1hồ sơ/1 lần nộp, 15,423,900 đồng đối với hình thức internet, sau khi thực hiện bãi bỏ TTHC chi phí tuân thủ thủ tục hành chính bãi bỏ là bằng 0, tiết kiệm được 17,392,900 đồng/năm đối với hình thức nộp trực tiếp, tiết kiệm được 15,423,900 đồng/năm  đối với hình thức bưu điện và tiết kiệm 15,423,900 đồng/năm đối với hình thức internet.</w:t>
      </w:r>
    </w:p>
    <w:p w14:paraId="78123F1C" w14:textId="45D0E8E3" w:rsidR="00A1324B" w:rsidRPr="00FF021D" w:rsidRDefault="001B3695" w:rsidP="00A1324B">
      <w:pPr>
        <w:spacing w:before="120"/>
        <w:ind w:firstLine="567"/>
        <w:jc w:val="both"/>
        <w:rPr>
          <w:color w:val="000000"/>
          <w:lang w:val="pt-BR"/>
        </w:rPr>
      </w:pPr>
      <w:r>
        <w:rPr>
          <w:lang w:val="pt-BR"/>
        </w:rPr>
        <w:t>+</w:t>
      </w:r>
      <w:r w:rsidR="00A1324B" w:rsidRPr="00574F9F">
        <w:rPr>
          <w:lang w:val="pt-BR"/>
        </w:rPr>
        <w:t xml:space="preserve"> Đối với TTHC </w:t>
      </w:r>
      <w:r w:rsidR="00A1324B">
        <w:rPr>
          <w:lang w:val="pt-BR"/>
        </w:rPr>
        <w:t xml:space="preserve">cấp </w:t>
      </w:r>
      <w:r w:rsidR="00A1324B" w:rsidRPr="00574F9F">
        <w:rPr>
          <w:color w:val="000000"/>
          <w:lang w:val="pt-BR"/>
        </w:rPr>
        <w:t xml:space="preserve">Giấy chứng nhận </w:t>
      </w:r>
      <w:r w:rsidR="00A1324B">
        <w:rPr>
          <w:color w:val="000000"/>
          <w:lang w:val="pt-BR"/>
        </w:rPr>
        <w:t>khả năng chuyên môn</w:t>
      </w:r>
      <w:r w:rsidR="00A1324B" w:rsidRPr="00574F9F">
        <w:rPr>
          <w:color w:val="000000"/>
          <w:lang w:val="pt-BR"/>
        </w:rPr>
        <w:t xml:space="preserve"> hoa tiêu hàng hải trước khi sửa đổi chi phí thực hiện 593,500 đồng/1hồ sơ/1lần nộp, 38,577,500 đồng/năm đối với hình thức nộp trực tiếp; 536,715 đồng/1hồ sơ/1 lần nộp, 34,886,500 đồng  đối với hình thức bưu điện; 516,408 đồng/1hồ sơ/1 lần nộp, </w:t>
      </w:r>
      <w:r w:rsidR="00A1324B" w:rsidRPr="00574F9F">
        <w:rPr>
          <w:color w:val="000000"/>
          <w:lang w:val="pt-BR"/>
        </w:rPr>
        <w:lastRenderedPageBreak/>
        <w:t xml:space="preserve">33,566,500 đồng  đối với hình thức internet. Sau khi thực hiện sửa đổi chi phí thực hiện 481,055 đồng/1hồ sơ/1lần nộp, 31,268,600 đồng/năm đối với hình thức nộp trực tiếp; 424,271 đồng/1hồ sơ/1 lần nộp, 27,577,600 đồng  đối với hình thức bưu điện; 403,963 đồng/1hồ sơ/1 lần nộp, 26,257,600 đồng đối với hình thức internet, </w:t>
      </w:r>
      <w:r w:rsidR="00A1324B">
        <w:rPr>
          <w:color w:val="000000"/>
          <w:lang w:val="pt-BR"/>
        </w:rPr>
        <w:t>tiếp kiệm được 7,308,900 đồng/năm.</w:t>
      </w:r>
    </w:p>
    <w:p w14:paraId="6F0C1140" w14:textId="163E7A8B" w:rsidR="00A1324B" w:rsidRDefault="001B3695" w:rsidP="00A1324B">
      <w:pPr>
        <w:spacing w:before="120"/>
        <w:ind w:firstLine="567"/>
        <w:jc w:val="both"/>
        <w:rPr>
          <w:color w:val="000000"/>
          <w:lang w:val="pt-BR"/>
        </w:rPr>
      </w:pPr>
      <w:r>
        <w:rPr>
          <w:lang w:val="pt-BR"/>
        </w:rPr>
        <w:t>+</w:t>
      </w:r>
      <w:r w:rsidR="00A1324B" w:rsidRPr="00F63CF9">
        <w:rPr>
          <w:lang w:val="pt-BR"/>
        </w:rPr>
        <w:t xml:space="preserve"> Đối với TTHC </w:t>
      </w:r>
      <w:r w:rsidR="00A1324B">
        <w:rPr>
          <w:lang w:val="pt-BR"/>
        </w:rPr>
        <w:t xml:space="preserve">cấp </w:t>
      </w:r>
      <w:r w:rsidR="00A1324B" w:rsidRPr="00F63CF9">
        <w:rPr>
          <w:color w:val="000000"/>
          <w:lang w:val="pt-BR"/>
        </w:rPr>
        <w:t xml:space="preserve">Giấy chứng nhận vùng hoạt động hoa tiêu hàng hải trước khi sửa đổi chi phí thực hiện 468,550 đồng/1hồ sơ/1lần nộp, 30,455,750 đồng/năm đối với hình thức nộp trực tiếp; 411,150 đồng/1hồ sơ/1 lần nộp, 26,764,750 đồng  đối với hình thức bưu điện; 391,458 đồng/1hồ sơ/1 lần nộp, 25,444,750 đồng  đối với hình thức </w:t>
      </w:r>
      <w:r w:rsidR="00A1324B" w:rsidRPr="00276884">
        <w:rPr>
          <w:color w:val="000000"/>
          <w:lang w:val="pt-BR"/>
        </w:rPr>
        <w:t>internet. Sau khi thực hiện sửa đổi chi phí thực hiện 415,448 đồng/1hồ sơ/1lần nộp, 27,004,100 đồng/năm đối với hình thức nộp trực tiếp; 358,663 đồng/1hồ sơ/1 lần nộp, 23,313,100 đồng đối với hình thức bưu điện; 338,355 đồng/1hồ sơ/1 lần nộp, 21,993,100 đồng  đối với hình thức internet, tiếp kiệm được 3,451,650 đồng</w:t>
      </w:r>
      <w:r w:rsidR="00A1324B">
        <w:rPr>
          <w:color w:val="000000"/>
          <w:lang w:val="pt-BR"/>
        </w:rPr>
        <w:t>/năm</w:t>
      </w:r>
      <w:r w:rsidR="00A1324B" w:rsidRPr="00276884">
        <w:rPr>
          <w:color w:val="000000"/>
          <w:lang w:val="pt-BR"/>
        </w:rPr>
        <w:t>.</w:t>
      </w:r>
    </w:p>
    <w:p w14:paraId="3CFEBCA9" w14:textId="0E6FECC9" w:rsidR="00A1324B" w:rsidRDefault="001B3695" w:rsidP="00A1324B">
      <w:pPr>
        <w:spacing w:before="120"/>
        <w:ind w:firstLine="567"/>
        <w:jc w:val="both"/>
        <w:rPr>
          <w:color w:val="000000"/>
          <w:lang w:val="pt-BR"/>
        </w:rPr>
      </w:pPr>
      <w:r>
        <w:rPr>
          <w:lang w:val="pt-BR"/>
        </w:rPr>
        <w:t>+</w:t>
      </w:r>
      <w:r w:rsidR="00A1324B" w:rsidRPr="00276884">
        <w:rPr>
          <w:lang w:val="pt-BR"/>
        </w:rPr>
        <w:t xml:space="preserve"> Đối với TTHC </w:t>
      </w:r>
      <w:r w:rsidR="00A1324B">
        <w:rPr>
          <w:lang w:val="pt-BR"/>
        </w:rPr>
        <w:t xml:space="preserve">cấp </w:t>
      </w:r>
      <w:r w:rsidR="00A1324B" w:rsidRPr="00276884">
        <w:rPr>
          <w:color w:val="000000"/>
          <w:lang w:val="pt-BR"/>
        </w:rPr>
        <w:t xml:space="preserve">Giấy chứng nhận vùng hoạt động hoa tiêu hàng hải đối với hoa tiêu hàng hải chuyển vùng hoạt động trước khi sửa đổi chi phí thực hiện </w:t>
      </w:r>
      <w:r w:rsidR="00A1324B" w:rsidRPr="000A4FCA">
        <w:rPr>
          <w:color w:val="000000"/>
          <w:lang w:val="pt-BR"/>
        </w:rPr>
        <w:t>468,550 đồng/1hồ sơ/1lần nộp, 937,100 đồng/năm đối với hình thức nộp trực tiếp; 411,150 đồng/1hồ sơ/1 lần nộp, 862,300 đồng  đối với hình thức bưu điện; 401,150 đồng/1hồ sơ/1 lần nộp, 802,300 đồng  đối với hình thức intern</w:t>
      </w:r>
      <w:r w:rsidR="00A1324B" w:rsidRPr="001418DB">
        <w:rPr>
          <w:color w:val="000000"/>
          <w:lang w:val="pt-BR"/>
        </w:rPr>
        <w:t>et. Sau khi thực hiện sửa đổi chi phí thực hiện 418,850 đồng/1hồ sơ/1lần nộp, 837,700 đồng/năm đối với hình thức nộp trực tiếp; 361,450 đồng/1hồ sơ/1 lần nộp, 762,900 đồng đối với hình thức bưu điện; 351,450 đồng/1hồ sơ/1 lần nộp, 702,900 đồng  đối với hình thức internet, tiếp kiệm được 99,400 đồng</w:t>
      </w:r>
      <w:r w:rsidR="00A1324B">
        <w:rPr>
          <w:color w:val="000000"/>
          <w:lang w:val="pt-BR"/>
        </w:rPr>
        <w:t>/năm</w:t>
      </w:r>
      <w:r w:rsidR="00A1324B" w:rsidRPr="001418DB">
        <w:rPr>
          <w:color w:val="000000"/>
          <w:lang w:val="pt-BR"/>
        </w:rPr>
        <w:t>.</w:t>
      </w:r>
    </w:p>
    <w:p w14:paraId="6DF920BA" w14:textId="77777777" w:rsidR="008019FE" w:rsidRPr="008019FE" w:rsidRDefault="008019FE" w:rsidP="008019FE">
      <w:pPr>
        <w:shd w:val="clear" w:color="auto" w:fill="FFFFFF"/>
        <w:spacing w:before="120" w:after="120" w:line="234" w:lineRule="atLeast"/>
        <w:jc w:val="both"/>
        <w:rPr>
          <w:lang w:val="vi-VN"/>
        </w:rPr>
      </w:pPr>
      <w:r w:rsidRPr="00FF7135">
        <w:rPr>
          <w:lang w:val="vi-VN"/>
        </w:rPr>
        <w:tab/>
        <w:t>1.3. Lựa chọn giải pháp</w:t>
      </w:r>
    </w:p>
    <w:p w14:paraId="09696939" w14:textId="77777777" w:rsidR="008019FE" w:rsidRPr="00FF7135" w:rsidRDefault="008019FE" w:rsidP="008019FE">
      <w:pPr>
        <w:shd w:val="clear" w:color="auto" w:fill="FFFFFF"/>
        <w:spacing w:before="120" w:after="120" w:line="234" w:lineRule="atLeast"/>
        <w:ind w:firstLine="720"/>
        <w:jc w:val="both"/>
        <w:rPr>
          <w:lang w:val="vi-VN"/>
        </w:rPr>
      </w:pPr>
      <w:r w:rsidRPr="00FF7135">
        <w:rPr>
          <w:shd w:val="solid" w:color="FFFFFF" w:fill="auto"/>
          <w:lang w:val="vi-VN"/>
        </w:rPr>
        <w:t xml:space="preserve">Cục Hàng hải Việt Nam đã căn cứ các quy định của pháp luật, tình hình thực tiễn </w:t>
      </w:r>
      <w:r w:rsidRPr="00C35CA8">
        <w:rPr>
          <w:lang w:val="pt-BR"/>
        </w:rPr>
        <w:t xml:space="preserve">kế thừa và phát triển các nội dung đang còn hợp lý trong </w:t>
      </w:r>
      <w:r w:rsidRPr="00C35CA8">
        <w:rPr>
          <w:lang w:val="nl-NL"/>
        </w:rPr>
        <w:t xml:space="preserve">Thông tư số </w:t>
      </w:r>
      <w:r w:rsidRPr="00FF7135">
        <w:rPr>
          <w:color w:val="000000"/>
          <w:shd w:val="clear" w:color="auto" w:fill="FFFFFF"/>
          <w:lang w:val="vi-VN"/>
        </w:rPr>
        <w:t>27/2016</w:t>
      </w:r>
      <w:r w:rsidRPr="00C35CA8">
        <w:rPr>
          <w:color w:val="000000"/>
          <w:shd w:val="clear" w:color="auto" w:fill="FFFFFF"/>
          <w:lang w:val="vi-VN"/>
        </w:rPr>
        <w:t>/</w:t>
      </w:r>
      <w:r w:rsidRPr="00FF7135">
        <w:rPr>
          <w:color w:val="000000"/>
          <w:shd w:val="clear" w:color="auto" w:fill="FFFFFF"/>
          <w:lang w:val="vi-VN"/>
        </w:rPr>
        <w:t>TT-BGTVT và Thông tư số 54/202023</w:t>
      </w:r>
      <w:r w:rsidRPr="00C35CA8">
        <w:rPr>
          <w:color w:val="000000"/>
          <w:shd w:val="clear" w:color="auto" w:fill="FFFFFF"/>
          <w:lang w:val="vi-VN"/>
        </w:rPr>
        <w:t>/</w:t>
      </w:r>
      <w:r w:rsidRPr="00FF7135">
        <w:rPr>
          <w:color w:val="000000"/>
          <w:shd w:val="clear" w:color="auto" w:fill="FFFFFF"/>
          <w:lang w:val="vi-VN"/>
        </w:rPr>
        <w:t>TT-BGTVT</w:t>
      </w:r>
      <w:r w:rsidRPr="00FF7135">
        <w:rPr>
          <w:shd w:val="solid" w:color="FFFFFF" w:fill="auto"/>
          <w:lang w:val="vi-VN"/>
        </w:rPr>
        <w:t xml:space="preserve"> để xây dựng dự thảo </w:t>
      </w:r>
      <w:r w:rsidRPr="00FF7135">
        <w:rPr>
          <w:lang w:val="vi-VN"/>
        </w:rPr>
        <w:t xml:space="preserve">Thông tư </w:t>
      </w:r>
      <w:r>
        <w:rPr>
          <w:bCs/>
          <w:color w:val="000000"/>
          <w:lang w:val="pt-BR"/>
        </w:rPr>
        <w:t>quy định về đào tạo, cấp, thu hồi chứng chỉ chuyên môn hoa tiêu hàng hải và giấy chứng nhận vùng hoạt động hoa tiêu hàng hải.</w:t>
      </w:r>
    </w:p>
    <w:p w14:paraId="2BF667AE" w14:textId="77777777" w:rsidR="008019FE" w:rsidRPr="008019FE" w:rsidRDefault="008019FE" w:rsidP="008019FE">
      <w:pPr>
        <w:shd w:val="clear" w:color="auto" w:fill="FFFFFF"/>
        <w:spacing w:before="120" w:after="120" w:line="234" w:lineRule="atLeast"/>
        <w:jc w:val="both"/>
        <w:rPr>
          <w:lang w:val="vi-VN"/>
        </w:rPr>
      </w:pPr>
      <w:r w:rsidRPr="00FF7135">
        <w:rPr>
          <w:b/>
          <w:bCs/>
          <w:lang w:val="vi-VN"/>
        </w:rPr>
        <w:tab/>
      </w:r>
      <w:r w:rsidRPr="008019FE">
        <w:rPr>
          <w:b/>
          <w:bCs/>
          <w:lang w:val="vi-VN"/>
        </w:rPr>
        <w:t>III. PHỤ LỤC</w:t>
      </w:r>
    </w:p>
    <w:p w14:paraId="26F44BFD" w14:textId="77777777" w:rsidR="008019FE" w:rsidRPr="008019FE" w:rsidRDefault="008019FE" w:rsidP="008019FE">
      <w:pPr>
        <w:shd w:val="clear" w:color="auto" w:fill="FFFFFF"/>
        <w:spacing w:before="120" w:after="120" w:line="234" w:lineRule="atLeast"/>
        <w:jc w:val="both"/>
        <w:rPr>
          <w:spacing w:val="-4"/>
          <w:lang w:val="vi-VN"/>
        </w:rPr>
      </w:pPr>
      <w:r w:rsidRPr="008019FE">
        <w:rPr>
          <w:lang w:val="vi-VN"/>
        </w:rPr>
        <w:tab/>
      </w:r>
      <w:r w:rsidRPr="008019FE">
        <w:rPr>
          <w:spacing w:val="-4"/>
          <w:lang w:val="vi-VN"/>
        </w:rPr>
        <w:t>- Các bảng, biểu tính toán chi phí và lợi ích của các giải pháp (nếu có): Biểu mẫu đánh giá tác động thủ tục hành chính cho thấy lợi ích về chi phí tuân thủ sau khi bãi bỏ, sửa đổi, bổ sung để đơn giản hóa các TTHC (</w:t>
      </w:r>
      <w:r w:rsidRPr="00E77F9E">
        <w:rPr>
          <w:i/>
          <w:iCs/>
          <w:spacing w:val="-4"/>
          <w:lang w:val="vi-VN"/>
        </w:rPr>
        <w:t>số 04/ĐGTĐ-SCM gửi kèm theo</w:t>
      </w:r>
      <w:r w:rsidRPr="008019FE">
        <w:rPr>
          <w:i/>
          <w:iCs/>
          <w:spacing w:val="-4"/>
          <w:lang w:val="vi-VN"/>
        </w:rPr>
        <w:t>).</w:t>
      </w:r>
    </w:p>
    <w:p w14:paraId="0513F138" w14:textId="77777777" w:rsidR="008019FE" w:rsidRPr="008019FE" w:rsidRDefault="008019FE" w:rsidP="008019FE">
      <w:pPr>
        <w:shd w:val="clear" w:color="auto" w:fill="FFFFFF"/>
        <w:spacing w:before="120" w:after="120" w:line="234" w:lineRule="atLeast"/>
        <w:jc w:val="both"/>
        <w:rPr>
          <w:lang w:val="vi-VN"/>
        </w:rPr>
      </w:pPr>
      <w:r w:rsidRPr="008019FE">
        <w:rPr>
          <w:lang w:val="vi-VN"/>
        </w:rPr>
        <w:tab/>
        <w:t>- Danh mục các điều ước quốc tế có liên quan mà Cộng hòa xã hội chủ nghĩa Việt Nam là thành viên được rà soát và đánh giá tính tương thích (không).</w:t>
      </w:r>
    </w:p>
    <w:p w14:paraId="6919AFAF" w14:textId="77777777" w:rsidR="008019FE" w:rsidRPr="008019FE" w:rsidRDefault="008019FE" w:rsidP="008019FE">
      <w:pPr>
        <w:rPr>
          <w:lang w:val="vi-VN"/>
        </w:rPr>
      </w:pPr>
    </w:p>
    <w:p w14:paraId="49AF2441" w14:textId="77777777" w:rsidR="00BE7205" w:rsidRPr="008019FE" w:rsidRDefault="00BE7205">
      <w:pPr>
        <w:rPr>
          <w:lang w:val="vi-VN"/>
        </w:rPr>
      </w:pPr>
    </w:p>
    <w:sectPr w:rsidR="00BE7205" w:rsidRPr="008019FE" w:rsidSect="001B3695">
      <w:footerReference w:type="default" r:id="rId6"/>
      <w:pgSz w:w="11909" w:h="16834" w:code="9"/>
      <w:pgMar w:top="1134" w:right="1077" w:bottom="1134" w:left="1531" w:header="57" w:footer="22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CD3045" w14:textId="77777777" w:rsidR="006A7C22" w:rsidRDefault="006A7C22">
      <w:r>
        <w:separator/>
      </w:r>
    </w:p>
  </w:endnote>
  <w:endnote w:type="continuationSeparator" w:id="0">
    <w:p w14:paraId="47B193B3" w14:textId="77777777" w:rsidR="006A7C22" w:rsidRDefault="006A7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88485932"/>
      <w:docPartObj>
        <w:docPartGallery w:val="Page Numbers (Bottom of Page)"/>
        <w:docPartUnique/>
      </w:docPartObj>
    </w:sdtPr>
    <w:sdtEndPr>
      <w:rPr>
        <w:noProof/>
      </w:rPr>
    </w:sdtEndPr>
    <w:sdtContent>
      <w:p w14:paraId="53EDD04D" w14:textId="3C4CC0DB" w:rsidR="001B3695" w:rsidRDefault="001B369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BC0F119" w14:textId="77777777" w:rsidR="00E97CAA" w:rsidRDefault="00E97C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DA7963" w14:textId="77777777" w:rsidR="006A7C22" w:rsidRDefault="006A7C22">
      <w:r>
        <w:separator/>
      </w:r>
    </w:p>
  </w:footnote>
  <w:footnote w:type="continuationSeparator" w:id="0">
    <w:p w14:paraId="253DE51A" w14:textId="77777777" w:rsidR="006A7C22" w:rsidRDefault="006A7C2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19FE"/>
    <w:rsid w:val="00022DCE"/>
    <w:rsid w:val="000233EB"/>
    <w:rsid w:val="001B16B6"/>
    <w:rsid w:val="001B3695"/>
    <w:rsid w:val="00295111"/>
    <w:rsid w:val="003A4B3E"/>
    <w:rsid w:val="00434881"/>
    <w:rsid w:val="005C594E"/>
    <w:rsid w:val="005E0687"/>
    <w:rsid w:val="006A7C22"/>
    <w:rsid w:val="00786560"/>
    <w:rsid w:val="008019FE"/>
    <w:rsid w:val="008651D8"/>
    <w:rsid w:val="008A03A2"/>
    <w:rsid w:val="009D0ED5"/>
    <w:rsid w:val="00A1324B"/>
    <w:rsid w:val="00A9243B"/>
    <w:rsid w:val="00B57661"/>
    <w:rsid w:val="00B60E59"/>
    <w:rsid w:val="00BE7205"/>
    <w:rsid w:val="00C25B7A"/>
    <w:rsid w:val="00E97CAA"/>
    <w:rsid w:val="00FC6D73"/>
    <w:rsid w:val="00FF27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B6062"/>
  <w15:chartTrackingRefBased/>
  <w15:docId w15:val="{DD954761-8749-469B-991E-E59876FE4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19FE"/>
    <w:pPr>
      <w:spacing w:after="0" w:line="240" w:lineRule="auto"/>
    </w:pPr>
    <w:rPr>
      <w:rFonts w:eastAsia="Times New Roman" w:cs="Times New Roman"/>
      <w:kern w:val="0"/>
      <w:szCs w:val="28"/>
      <w14:ligatures w14:val="none"/>
    </w:rPr>
  </w:style>
  <w:style w:type="paragraph" w:styleId="Heading1">
    <w:name w:val="heading 1"/>
    <w:basedOn w:val="Normal"/>
    <w:next w:val="Normal"/>
    <w:link w:val="Heading1Char"/>
    <w:uiPriority w:val="9"/>
    <w:qFormat/>
    <w:rsid w:val="008019F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8019F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8019FE"/>
    <w:pPr>
      <w:keepNext/>
      <w:keepLines/>
      <w:spacing w:before="160" w:after="80" w:line="259" w:lineRule="auto"/>
      <w:outlineLvl w:val="2"/>
    </w:pPr>
    <w:rPr>
      <w:rFonts w:asciiTheme="minorHAnsi" w:eastAsiaTheme="majorEastAsia" w:hAnsiTheme="minorHAnsi" w:cstheme="majorBidi"/>
      <w:color w:val="0F4761" w:themeColor="accent1" w:themeShade="BF"/>
      <w:kern w:val="2"/>
      <w14:ligatures w14:val="standardContextual"/>
    </w:rPr>
  </w:style>
  <w:style w:type="paragraph" w:styleId="Heading4">
    <w:name w:val="heading 4"/>
    <w:basedOn w:val="Normal"/>
    <w:next w:val="Normal"/>
    <w:link w:val="Heading4Char"/>
    <w:uiPriority w:val="9"/>
    <w:semiHidden/>
    <w:unhideWhenUsed/>
    <w:qFormat/>
    <w:rsid w:val="008019FE"/>
    <w:pPr>
      <w:keepNext/>
      <w:keepLines/>
      <w:spacing w:before="80" w:after="40" w:line="259" w:lineRule="auto"/>
      <w:outlineLvl w:val="3"/>
    </w:pPr>
    <w:rPr>
      <w:rFonts w:asciiTheme="minorHAnsi" w:eastAsiaTheme="majorEastAsia" w:hAnsiTheme="minorHAnsi" w:cstheme="majorBidi"/>
      <w:i/>
      <w:iCs/>
      <w:color w:val="0F4761"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8019FE"/>
    <w:pPr>
      <w:keepNext/>
      <w:keepLines/>
      <w:spacing w:before="80" w:after="40" w:line="259" w:lineRule="auto"/>
      <w:outlineLvl w:val="4"/>
    </w:pPr>
    <w:rPr>
      <w:rFonts w:asciiTheme="minorHAnsi" w:eastAsiaTheme="majorEastAsia" w:hAnsiTheme="minorHAnsi" w:cstheme="majorBidi"/>
      <w:color w:val="0F4761"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8019FE"/>
    <w:pPr>
      <w:keepNext/>
      <w:keepLines/>
      <w:spacing w:before="40" w:line="259" w:lineRule="auto"/>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8019FE"/>
    <w:pPr>
      <w:keepNext/>
      <w:keepLines/>
      <w:spacing w:before="40" w:line="259" w:lineRule="auto"/>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8019FE"/>
    <w:pPr>
      <w:keepNext/>
      <w:keepLines/>
      <w:spacing w:line="259" w:lineRule="auto"/>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8019FE"/>
    <w:pPr>
      <w:keepNext/>
      <w:keepLines/>
      <w:spacing w:line="259" w:lineRule="auto"/>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19F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019F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019FE"/>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8019FE"/>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8019FE"/>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8019F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019F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019F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019F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019F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8019F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019FE"/>
    <w:pPr>
      <w:numPr>
        <w:ilvl w:val="1"/>
      </w:numPr>
      <w:spacing w:after="160" w:line="259" w:lineRule="auto"/>
    </w:pPr>
    <w:rPr>
      <w:rFonts w:asciiTheme="minorHAnsi" w:eastAsiaTheme="majorEastAsia" w:hAnsiTheme="minorHAnsi" w:cstheme="majorBidi"/>
      <w:color w:val="595959" w:themeColor="text1" w:themeTint="A6"/>
      <w:spacing w:val="15"/>
      <w:kern w:val="2"/>
      <w14:ligatures w14:val="standardContextual"/>
    </w:rPr>
  </w:style>
  <w:style w:type="character" w:customStyle="1" w:styleId="SubtitleChar">
    <w:name w:val="Subtitle Char"/>
    <w:basedOn w:val="DefaultParagraphFont"/>
    <w:link w:val="Subtitle"/>
    <w:uiPriority w:val="11"/>
    <w:rsid w:val="008019FE"/>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8019FE"/>
    <w:pPr>
      <w:spacing w:before="160" w:after="160" w:line="259" w:lineRule="auto"/>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8019FE"/>
    <w:rPr>
      <w:i/>
      <w:iCs/>
      <w:color w:val="404040" w:themeColor="text1" w:themeTint="BF"/>
    </w:rPr>
  </w:style>
  <w:style w:type="paragraph" w:styleId="ListParagraph">
    <w:name w:val="List Paragraph"/>
    <w:basedOn w:val="Normal"/>
    <w:uiPriority w:val="34"/>
    <w:qFormat/>
    <w:rsid w:val="008019FE"/>
    <w:pPr>
      <w:spacing w:after="160" w:line="259" w:lineRule="auto"/>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8019FE"/>
    <w:rPr>
      <w:i/>
      <w:iCs/>
      <w:color w:val="0F4761" w:themeColor="accent1" w:themeShade="BF"/>
    </w:rPr>
  </w:style>
  <w:style w:type="paragraph" w:styleId="IntenseQuote">
    <w:name w:val="Intense Quote"/>
    <w:basedOn w:val="Normal"/>
    <w:next w:val="Normal"/>
    <w:link w:val="IntenseQuoteChar"/>
    <w:uiPriority w:val="30"/>
    <w:qFormat/>
    <w:rsid w:val="008019F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cstheme="minorBidi"/>
      <w:i/>
      <w:iCs/>
      <w:color w:val="0F4761"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8019FE"/>
    <w:rPr>
      <w:i/>
      <w:iCs/>
      <w:color w:val="0F4761" w:themeColor="accent1" w:themeShade="BF"/>
    </w:rPr>
  </w:style>
  <w:style w:type="character" w:styleId="IntenseReference">
    <w:name w:val="Intense Reference"/>
    <w:basedOn w:val="DefaultParagraphFont"/>
    <w:uiPriority w:val="32"/>
    <w:qFormat/>
    <w:rsid w:val="008019FE"/>
    <w:rPr>
      <w:b/>
      <w:bCs/>
      <w:smallCaps/>
      <w:color w:val="0F4761" w:themeColor="accent1" w:themeShade="BF"/>
      <w:spacing w:val="5"/>
    </w:rPr>
  </w:style>
  <w:style w:type="paragraph" w:styleId="Header">
    <w:name w:val="header"/>
    <w:basedOn w:val="Normal"/>
    <w:link w:val="HeaderChar"/>
    <w:uiPriority w:val="99"/>
    <w:unhideWhenUsed/>
    <w:rsid w:val="008019FE"/>
    <w:pPr>
      <w:tabs>
        <w:tab w:val="center" w:pos="4680"/>
        <w:tab w:val="right" w:pos="9360"/>
      </w:tabs>
    </w:pPr>
    <w:rPr>
      <w:lang w:val="x-none" w:eastAsia="x-none"/>
    </w:rPr>
  </w:style>
  <w:style w:type="character" w:customStyle="1" w:styleId="HeaderChar">
    <w:name w:val="Header Char"/>
    <w:basedOn w:val="DefaultParagraphFont"/>
    <w:link w:val="Header"/>
    <w:uiPriority w:val="99"/>
    <w:rsid w:val="008019FE"/>
    <w:rPr>
      <w:rFonts w:eastAsia="Times New Roman" w:cs="Times New Roman"/>
      <w:kern w:val="0"/>
      <w:szCs w:val="28"/>
      <w:lang w:val="x-none" w:eastAsia="x-none"/>
      <w14:ligatures w14:val="none"/>
    </w:rPr>
  </w:style>
  <w:style w:type="paragraph" w:styleId="Footer">
    <w:name w:val="footer"/>
    <w:basedOn w:val="Normal"/>
    <w:link w:val="FooterChar"/>
    <w:uiPriority w:val="99"/>
    <w:unhideWhenUsed/>
    <w:rsid w:val="008019FE"/>
    <w:pPr>
      <w:tabs>
        <w:tab w:val="center" w:pos="4680"/>
        <w:tab w:val="right" w:pos="9360"/>
      </w:tabs>
    </w:pPr>
    <w:rPr>
      <w:lang w:val="x-none" w:eastAsia="x-none"/>
    </w:rPr>
  </w:style>
  <w:style w:type="character" w:customStyle="1" w:styleId="FooterChar">
    <w:name w:val="Footer Char"/>
    <w:basedOn w:val="DefaultParagraphFont"/>
    <w:link w:val="Footer"/>
    <w:uiPriority w:val="99"/>
    <w:rsid w:val="008019FE"/>
    <w:rPr>
      <w:rFonts w:eastAsia="Times New Roman" w:cs="Times New Roman"/>
      <w:kern w:val="0"/>
      <w:szCs w:val="28"/>
      <w:lang w:val="x-none" w:eastAsia="x-none"/>
      <w14:ligatures w14:val="none"/>
    </w:rPr>
  </w:style>
  <w:style w:type="table" w:styleId="TableGrid">
    <w:name w:val="Table Grid"/>
    <w:basedOn w:val="TableNormal"/>
    <w:uiPriority w:val="39"/>
    <w:rsid w:val="00B57661"/>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1524</Words>
  <Characters>8693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tung bui duy</dc:creator>
  <cp:keywords/>
  <dc:description/>
  <cp:lastModifiedBy>tung bui duy</cp:lastModifiedBy>
  <cp:revision>2</cp:revision>
  <dcterms:created xsi:type="dcterms:W3CDTF">2024-12-31T09:17:00Z</dcterms:created>
  <dcterms:modified xsi:type="dcterms:W3CDTF">2024-12-31T09:17:00Z</dcterms:modified>
</cp:coreProperties>
</file>